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0" w:rsidRPr="0004269A" w:rsidRDefault="00DF31E0" w:rsidP="00451E0F">
      <w:pPr>
        <w:pStyle w:val="Titre8"/>
        <w:rPr>
          <w:rFonts w:ascii="Baskerville Old Face" w:hAnsi="Baskerville Old Face"/>
          <w:i w:val="0"/>
          <w:iCs/>
          <w:sz w:val="34"/>
          <w:szCs w:val="36"/>
          <w:u w:val="double"/>
        </w:rPr>
      </w:pPr>
      <w:r w:rsidRPr="0004269A">
        <w:rPr>
          <w:rFonts w:ascii="Baskerville Old Face" w:hAnsi="Baskerville Old Face"/>
          <w:i w:val="0"/>
          <w:iCs/>
          <w:sz w:val="34"/>
          <w:szCs w:val="36"/>
          <w:u w:val="double"/>
        </w:rPr>
        <w:t>APPEL  D’OFFRES  N°:</w:t>
      </w:r>
      <w:r w:rsidR="0004269A" w:rsidRPr="0004269A">
        <w:rPr>
          <w:rFonts w:ascii="Baskerville Old Face" w:hAnsi="Baskerville Old Face"/>
          <w:i w:val="0"/>
          <w:iCs/>
          <w:sz w:val="34"/>
          <w:szCs w:val="36"/>
          <w:u w:val="double"/>
        </w:rPr>
        <w:t xml:space="preserve"> </w:t>
      </w:r>
      <w:r w:rsidR="00451E0F">
        <w:rPr>
          <w:rFonts w:ascii="Baskerville Old Face" w:hAnsi="Baskerville Old Face"/>
          <w:i w:val="0"/>
          <w:iCs/>
          <w:sz w:val="34"/>
          <w:szCs w:val="36"/>
          <w:u w:val="double"/>
        </w:rPr>
        <w:t>26/2022</w:t>
      </w:r>
    </w:p>
    <w:p w:rsidR="00DF31E0" w:rsidRPr="00565316" w:rsidRDefault="00DF31E0" w:rsidP="00DF31E0">
      <w:pPr>
        <w:rPr>
          <w:sz w:val="18"/>
          <w:szCs w:val="18"/>
        </w:rPr>
      </w:pPr>
    </w:p>
    <w:p w:rsidR="008A7B5B" w:rsidRPr="00565316" w:rsidRDefault="008A7B5B" w:rsidP="008A7B5B">
      <w:pPr>
        <w:rPr>
          <w:sz w:val="14"/>
          <w:szCs w:val="14"/>
        </w:rPr>
      </w:pPr>
    </w:p>
    <w:p w:rsidR="00AC5268" w:rsidRDefault="00F304A4" w:rsidP="0004269A">
      <w:pPr>
        <w:spacing w:after="120"/>
        <w:jc w:val="center"/>
        <w:rPr>
          <w:rFonts w:asciiTheme="majorBidi" w:hAnsiTheme="majorBidi" w:cstheme="majorBidi"/>
          <w:b/>
          <w:i/>
          <w:iCs/>
          <w:caps/>
          <w:sz w:val="32"/>
          <w:szCs w:val="32"/>
        </w:rPr>
      </w:pPr>
      <w:r w:rsidRPr="00F304A4">
        <w:rPr>
          <w:rFonts w:ascii="Albertus Extra Bold" w:hAnsi="Albertus Extra Bold" w:cs="Aharoni"/>
          <w:b/>
          <w:i/>
          <w:sz w:val="32"/>
          <w:szCs w:val="32"/>
        </w:rPr>
        <w:t>«</w:t>
      </w:r>
      <w:r w:rsidR="0004269A">
        <w:rPr>
          <w:rFonts w:ascii="Albertus Extra Bold" w:hAnsi="Albertus Extra Bold" w:cs="Aharoni"/>
          <w:b/>
          <w:i/>
          <w:sz w:val="32"/>
          <w:szCs w:val="32"/>
        </w:rPr>
        <w:t xml:space="preserve">ACHAT </w:t>
      </w:r>
      <w:r w:rsidR="009B2090">
        <w:rPr>
          <w:rFonts w:ascii="Albertus Extra Bold" w:hAnsi="Albertus Extra Bold" w:cs="Aharoni"/>
          <w:b/>
          <w:i/>
          <w:sz w:val="32"/>
          <w:szCs w:val="32"/>
        </w:rPr>
        <w:t xml:space="preserve">DE </w:t>
      </w:r>
      <w:r w:rsidR="0004269A">
        <w:rPr>
          <w:rFonts w:ascii="Albertus Extra Bold" w:hAnsi="Albertus Extra Bold" w:cs="Aharoni"/>
          <w:b/>
          <w:i/>
          <w:sz w:val="32"/>
          <w:szCs w:val="32"/>
        </w:rPr>
        <w:t>CONSOMMABLES</w:t>
      </w:r>
      <w:r w:rsidR="00AC5268" w:rsidRPr="00AC5268">
        <w:rPr>
          <w:rFonts w:ascii="Albertus Extra Bold" w:hAnsi="Albertus Extra Bold" w:cs="Aharoni"/>
          <w:b/>
          <w:i/>
          <w:sz w:val="32"/>
          <w:szCs w:val="32"/>
        </w:rPr>
        <w:t xml:space="preserve"> INFORMATIQUES</w:t>
      </w:r>
      <w:r w:rsidR="0004269A">
        <w:rPr>
          <w:rFonts w:ascii="Albertus Extra Bold" w:hAnsi="Albertus Extra Bold" w:cs="Aharoni"/>
          <w:b/>
          <w:i/>
          <w:sz w:val="32"/>
          <w:szCs w:val="32"/>
        </w:rPr>
        <w:t xml:space="preserve"> ET PHOTOCOPIEURS</w:t>
      </w:r>
      <w:r w:rsidR="00AC5268" w:rsidRPr="00AC5268">
        <w:rPr>
          <w:rFonts w:ascii="Albertus Extra Bold" w:hAnsi="Albertus Extra Bold" w:cs="Aharoni"/>
          <w:b/>
          <w:i/>
          <w:sz w:val="32"/>
          <w:szCs w:val="32"/>
        </w:rPr>
        <w:t>»</w:t>
      </w:r>
    </w:p>
    <w:p w:rsidR="00DF31E0" w:rsidRPr="00565316" w:rsidRDefault="00DF31E0" w:rsidP="007D1EDB">
      <w:pPr>
        <w:ind w:left="2486"/>
        <w:jc w:val="both"/>
        <w:rPr>
          <w:rFonts w:ascii="Book Antiqua" w:hAnsi="Book Antiqua" w:cs="Andalus"/>
          <w:b/>
          <w:i/>
          <w:sz w:val="16"/>
          <w:szCs w:val="16"/>
        </w:rPr>
      </w:pPr>
    </w:p>
    <w:p w:rsidR="007D1EDB" w:rsidRPr="00565316" w:rsidRDefault="007D1EDB" w:rsidP="007D1EDB">
      <w:pPr>
        <w:ind w:left="2486"/>
        <w:jc w:val="both"/>
        <w:rPr>
          <w:rFonts w:ascii="Book Antiqua" w:hAnsi="Book Antiqua" w:cs="Andalus"/>
          <w:b/>
          <w:i/>
          <w:sz w:val="14"/>
          <w:szCs w:val="14"/>
        </w:rPr>
      </w:pPr>
      <w:r w:rsidRPr="00565316">
        <w:rPr>
          <w:rFonts w:ascii="Book Antiqua" w:hAnsi="Book Antiqua" w:cs="Andalus"/>
          <w:b/>
          <w:i/>
          <w:sz w:val="14"/>
          <w:szCs w:val="14"/>
        </w:rPr>
        <w:t xml:space="preserve">              </w:t>
      </w:r>
    </w:p>
    <w:p w:rsidR="00AC5268" w:rsidRPr="00AC5268" w:rsidRDefault="007D1EDB" w:rsidP="0004269A">
      <w:pPr>
        <w:ind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 xml:space="preserve">La Société Tunisienne de l’Air « TUNISAIR » se propose de lancer un </w:t>
      </w:r>
      <w:r w:rsidR="00AC5268" w:rsidRPr="00AC5268">
        <w:rPr>
          <w:rFonts w:ascii="Book Antiqua" w:hAnsi="Book Antiqua" w:cs="Andalus"/>
          <w:b/>
          <w:i/>
          <w:sz w:val="26"/>
          <w:szCs w:val="26"/>
        </w:rPr>
        <w:t>Appel d’Offres afin de conclure un marché p</w:t>
      </w:r>
      <w:r w:rsidR="0004269A">
        <w:rPr>
          <w:rFonts w:ascii="Book Antiqua" w:hAnsi="Book Antiqua" w:cs="Andalus"/>
          <w:b/>
          <w:i/>
          <w:sz w:val="26"/>
          <w:szCs w:val="26"/>
        </w:rPr>
        <w:t>our l’Achat</w:t>
      </w:r>
      <w:r w:rsidR="009B2090">
        <w:rPr>
          <w:rFonts w:ascii="Book Antiqua" w:hAnsi="Book Antiqua" w:cs="Andalus"/>
          <w:b/>
          <w:i/>
          <w:sz w:val="26"/>
          <w:szCs w:val="26"/>
        </w:rPr>
        <w:t xml:space="preserve"> de</w:t>
      </w:r>
      <w:r w:rsidR="0004269A">
        <w:rPr>
          <w:rFonts w:ascii="Book Antiqua" w:hAnsi="Book Antiqua" w:cs="Andalus"/>
          <w:b/>
          <w:i/>
          <w:sz w:val="26"/>
          <w:szCs w:val="26"/>
        </w:rPr>
        <w:t xml:space="preserve"> Consommables</w:t>
      </w:r>
      <w:r w:rsidR="00AC5268" w:rsidRPr="00AC5268">
        <w:rPr>
          <w:rFonts w:ascii="Book Antiqua" w:hAnsi="Book Antiqua" w:cs="Andalus"/>
          <w:b/>
          <w:i/>
          <w:sz w:val="26"/>
          <w:szCs w:val="26"/>
        </w:rPr>
        <w:t xml:space="preserve"> Informatiques </w:t>
      </w:r>
      <w:r w:rsidR="0004269A">
        <w:rPr>
          <w:rFonts w:ascii="Book Antiqua" w:hAnsi="Book Antiqua" w:cs="Andalus"/>
          <w:b/>
          <w:i/>
          <w:sz w:val="26"/>
          <w:szCs w:val="26"/>
        </w:rPr>
        <w:t>et Photocopieurs</w:t>
      </w:r>
      <w:r w:rsidR="00AC5268" w:rsidRPr="00AC5268">
        <w:rPr>
          <w:rFonts w:ascii="Book Antiqua" w:hAnsi="Book Antiqua" w:cs="Andalus"/>
          <w:b/>
          <w:i/>
          <w:sz w:val="26"/>
          <w:szCs w:val="26"/>
        </w:rPr>
        <w:t>.</w:t>
      </w:r>
    </w:p>
    <w:p w:rsidR="00AC5268" w:rsidRPr="009B2090" w:rsidRDefault="00AC5268" w:rsidP="006C73F3">
      <w:pPr>
        <w:pStyle w:val="Paragraphedeliste"/>
        <w:ind w:left="0"/>
        <w:rPr>
          <w:rFonts w:ascii="Book Antiqua" w:hAnsi="Book Antiqua" w:cs="Andalus"/>
          <w:b/>
          <w:i/>
          <w:sz w:val="16"/>
          <w:szCs w:val="16"/>
        </w:rPr>
      </w:pPr>
    </w:p>
    <w:p w:rsidR="007D1EDB" w:rsidRDefault="007D1EDB" w:rsidP="00451E0F">
      <w:pPr>
        <w:pStyle w:val="Paragraphedeliste"/>
        <w:ind w:left="0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Le marché est composé d</w:t>
      </w:r>
      <w:r w:rsidR="00E94AA6">
        <w:rPr>
          <w:rFonts w:ascii="Book Antiqua" w:hAnsi="Book Antiqua" w:cs="Andalus"/>
          <w:b/>
          <w:i/>
          <w:sz w:val="26"/>
          <w:szCs w:val="26"/>
        </w:rPr>
        <w:t>e</w:t>
      </w:r>
      <w:r w:rsidR="00AC5268"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04269A">
        <w:rPr>
          <w:rFonts w:ascii="Book Antiqua" w:hAnsi="Book Antiqua" w:cs="Andalus"/>
          <w:b/>
          <w:i/>
          <w:sz w:val="26"/>
          <w:szCs w:val="26"/>
        </w:rPr>
        <w:t>qua</w:t>
      </w:r>
      <w:r w:rsidR="00451E0F">
        <w:rPr>
          <w:rFonts w:ascii="Book Antiqua" w:hAnsi="Book Antiqua" w:cs="Andalus"/>
          <w:b/>
          <w:i/>
          <w:sz w:val="26"/>
          <w:szCs w:val="26"/>
        </w:rPr>
        <w:t>rante</w:t>
      </w:r>
      <w:r w:rsidR="006C73F3"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451E0F">
        <w:rPr>
          <w:rFonts w:ascii="Book Antiqua" w:hAnsi="Book Antiqua" w:cs="Andalus"/>
          <w:b/>
          <w:i/>
          <w:sz w:val="26"/>
          <w:szCs w:val="26"/>
        </w:rPr>
        <w:t>(</w:t>
      </w:r>
      <w:r w:rsidR="0004269A">
        <w:rPr>
          <w:rFonts w:ascii="Book Antiqua" w:hAnsi="Book Antiqua" w:cs="Andalus"/>
          <w:b/>
          <w:i/>
          <w:sz w:val="26"/>
          <w:szCs w:val="26"/>
        </w:rPr>
        <w:t>4</w:t>
      </w:r>
      <w:r w:rsidR="00451E0F">
        <w:rPr>
          <w:rFonts w:ascii="Book Antiqua" w:hAnsi="Book Antiqua" w:cs="Andalus"/>
          <w:b/>
          <w:i/>
          <w:sz w:val="26"/>
          <w:szCs w:val="26"/>
        </w:rPr>
        <w:t>0</w:t>
      </w:r>
      <w:r w:rsidRPr="007D1EDB">
        <w:rPr>
          <w:rFonts w:ascii="Book Antiqua" w:hAnsi="Book Antiqua" w:cs="Andalus"/>
          <w:b/>
          <w:i/>
          <w:sz w:val="26"/>
          <w:szCs w:val="26"/>
        </w:rPr>
        <w:t xml:space="preserve">) </w:t>
      </w:r>
      <w:r w:rsidR="00A8541E"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04269A">
        <w:rPr>
          <w:rFonts w:ascii="Book Antiqua" w:hAnsi="Book Antiqua" w:cs="Andalus"/>
          <w:b/>
          <w:i/>
          <w:sz w:val="26"/>
          <w:szCs w:val="26"/>
        </w:rPr>
        <w:t>articles</w:t>
      </w:r>
      <w:r w:rsidR="00A8541E">
        <w:rPr>
          <w:rFonts w:ascii="Book Antiqua" w:hAnsi="Book Antiqua" w:cs="Andalus"/>
          <w:b/>
          <w:i/>
          <w:sz w:val="26"/>
          <w:szCs w:val="26"/>
        </w:rPr>
        <w:t xml:space="preserve"> : </w:t>
      </w:r>
    </w:p>
    <w:p w:rsidR="00AC5268" w:rsidRPr="00565316" w:rsidRDefault="00AC5268" w:rsidP="00565316">
      <w:pPr>
        <w:pStyle w:val="Paragraphedeliste"/>
        <w:ind w:left="-142"/>
        <w:rPr>
          <w:rFonts w:ascii="Book Antiqua" w:hAnsi="Book Antiqua" w:cs="Andalus"/>
          <w:b/>
          <w:i/>
          <w:sz w:val="14"/>
          <w:szCs w:val="14"/>
        </w:rPr>
      </w:pPr>
    </w:p>
    <w:p w:rsidR="00AC5268" w:rsidRDefault="004129B4" w:rsidP="006C73F3">
      <w:pPr>
        <w:pStyle w:val="Paragraphedeliste"/>
        <w:ind w:left="0"/>
        <w:rPr>
          <w:rFonts w:ascii="Book Antiqua" w:hAnsi="Book Antiqua" w:cs="Andalus"/>
          <w:b/>
          <w:i/>
          <w:sz w:val="22"/>
          <w:szCs w:val="22"/>
        </w:rPr>
      </w:pPr>
      <w:r>
        <w:rPr>
          <w:rFonts w:ascii="Book Antiqua" w:hAnsi="Book Antiqua" w:cs="Andalus"/>
          <w:b/>
          <w:i/>
          <w:sz w:val="26"/>
          <w:szCs w:val="26"/>
        </w:rPr>
        <w:t>Le soumissionnaire peut participer à un ou plusieurs articles du marché. D’autre part le soumissionnaire peut être retenu pour un ou plusieurs articles pour lesquels il a soumissionné.</w:t>
      </w:r>
    </w:p>
    <w:p w:rsidR="0004269A" w:rsidRPr="009B2090" w:rsidRDefault="0004269A" w:rsidP="006C73F3">
      <w:pPr>
        <w:pStyle w:val="Paragraphedeliste"/>
        <w:ind w:left="0"/>
        <w:rPr>
          <w:rFonts w:ascii="Book Antiqua" w:hAnsi="Book Antiqua" w:cs="Andalus"/>
          <w:b/>
          <w:i/>
          <w:sz w:val="12"/>
          <w:szCs w:val="12"/>
        </w:rPr>
      </w:pPr>
    </w:p>
    <w:p w:rsidR="007D1EDB" w:rsidRDefault="007D1EDB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Les soumissionnaires intéressés ne peuvent participer à cet appel d’offres que s’ils sont inscrits sur le système TUNEPS et disposant du certificat de signature électronique (</w:t>
      </w:r>
      <w:hyperlink r:id="rId9" w:history="1">
        <w:r w:rsidRPr="007D1EDB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7D1EDB">
        <w:rPr>
          <w:rFonts w:ascii="Book Antiqua" w:hAnsi="Book Antiqua" w:cs="Andalus"/>
          <w:b/>
          <w:i/>
          <w:sz w:val="26"/>
          <w:szCs w:val="26"/>
        </w:rPr>
        <w:t xml:space="preserve">). </w:t>
      </w:r>
    </w:p>
    <w:p w:rsidR="00451E0F" w:rsidRPr="00451E0F" w:rsidRDefault="00451E0F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451E0F" w:rsidRDefault="007D1EDB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Tous les soumissionnaires doivent télécharger le cahier des charges gratuitement disponible sur le système TUNEPS (</w:t>
      </w:r>
      <w:hyperlink r:id="rId10" w:history="1">
        <w:r w:rsidRPr="007D1EDB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7D1EDB">
        <w:rPr>
          <w:rFonts w:ascii="Book Antiqua" w:hAnsi="Book Antiqua" w:cs="Andalus"/>
          <w:b/>
          <w:i/>
          <w:sz w:val="26"/>
          <w:szCs w:val="26"/>
        </w:rPr>
        <w:t>).</w:t>
      </w:r>
    </w:p>
    <w:p w:rsidR="007D1EDB" w:rsidRPr="00451E0F" w:rsidRDefault="007D1EDB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14"/>
          <w:szCs w:val="14"/>
          <w:rtl/>
        </w:rPr>
      </w:pPr>
      <w:r w:rsidRPr="00451E0F">
        <w:rPr>
          <w:rFonts w:ascii="Book Antiqua" w:hAnsi="Book Antiqua" w:cs="Andalus"/>
          <w:b/>
          <w:i/>
          <w:sz w:val="14"/>
          <w:szCs w:val="14"/>
        </w:rPr>
        <w:t xml:space="preserve"> </w:t>
      </w:r>
    </w:p>
    <w:p w:rsidR="00BB43DB" w:rsidRDefault="00BB43DB" w:rsidP="00BB43DB">
      <w:pPr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>- L</w:t>
      </w:r>
      <w:r>
        <w:rPr>
          <w:rFonts w:ascii="Book Antiqua" w:hAnsi="Book Antiqua" w:cs="Andalus"/>
          <w:b/>
          <w:i/>
          <w:sz w:val="26"/>
          <w:szCs w:val="26"/>
        </w:rPr>
        <w:t xml:space="preserve">es </w:t>
      </w:r>
      <w:r w:rsidRPr="00881763">
        <w:rPr>
          <w:rFonts w:ascii="Book Antiqua" w:hAnsi="Book Antiqua" w:cs="Andalus"/>
          <w:b/>
          <w:i/>
          <w:sz w:val="26"/>
          <w:szCs w:val="26"/>
        </w:rPr>
        <w:t>offre</w:t>
      </w:r>
      <w:r>
        <w:rPr>
          <w:rFonts w:ascii="Book Antiqua" w:hAnsi="Book Antiqua" w:cs="Andalus"/>
          <w:b/>
          <w:i/>
          <w:sz w:val="26"/>
          <w:szCs w:val="26"/>
        </w:rPr>
        <w:t xml:space="preserve">s devront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être </w:t>
      </w:r>
      <w:r>
        <w:rPr>
          <w:rFonts w:ascii="Book Antiqua" w:hAnsi="Book Antiqua" w:cs="Andalus"/>
          <w:b/>
          <w:i/>
          <w:sz w:val="26"/>
          <w:szCs w:val="26"/>
        </w:rPr>
        <w:t xml:space="preserve">présentées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conformément à l’article </w:t>
      </w:r>
      <w:r>
        <w:rPr>
          <w:rFonts w:ascii="Book Antiqua" w:hAnsi="Book Antiqua" w:cs="Andalus" w:hint="cs"/>
          <w:b/>
          <w:i/>
          <w:sz w:val="28"/>
          <w:szCs w:val="28"/>
          <w:rtl/>
        </w:rPr>
        <w:t>7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</w:t>
      </w:r>
      <w:r>
        <w:rPr>
          <w:rFonts w:ascii="Book Antiqua" w:hAnsi="Book Antiqua" w:cs="Andalus"/>
          <w:b/>
          <w:i/>
          <w:sz w:val="26"/>
          <w:szCs w:val="26"/>
        </w:rPr>
        <w:t xml:space="preserve">du cahier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des conditions d’appel d’offres. </w:t>
      </w:r>
    </w:p>
    <w:p w:rsidR="00451E0F" w:rsidRPr="00451E0F" w:rsidRDefault="00451E0F" w:rsidP="00BB43DB">
      <w:pPr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451E0F" w:rsidRPr="00451E0F" w:rsidRDefault="00451E0F" w:rsidP="00BB43DB">
      <w:pPr>
        <w:jc w:val="both"/>
        <w:rPr>
          <w:rFonts w:ascii="Book Antiqua" w:hAnsi="Book Antiqua" w:cs="Andalus"/>
          <w:sz w:val="4"/>
          <w:szCs w:val="4"/>
        </w:rPr>
      </w:pPr>
      <w:r w:rsidRPr="00451E0F">
        <w:rPr>
          <w:rFonts w:ascii="Book Antiqua" w:hAnsi="Book Antiqua" w:cs="Andalus"/>
          <w:b/>
          <w:i/>
          <w:sz w:val="14"/>
          <w:szCs w:val="14"/>
        </w:rPr>
        <w:t xml:space="preserve"> </w:t>
      </w:r>
    </w:p>
    <w:p w:rsidR="007D1EDB" w:rsidRDefault="007D1EDB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Les offres techniques et financières doivent parvenir obligatoirement à travers le système TUNEPS. Toute offre non parvenue via le système TUNEPS sera automatiquement rejetée.</w:t>
      </w:r>
    </w:p>
    <w:p w:rsidR="00451E0F" w:rsidRPr="00451E0F" w:rsidRDefault="00451E0F" w:rsidP="00C20824">
      <w:pPr>
        <w:pStyle w:val="Paragraphedeliste"/>
        <w:ind w:left="0"/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9B2090" w:rsidRDefault="009B2090" w:rsidP="009B2090">
      <w:pPr>
        <w:pStyle w:val="Paragraphedeliste"/>
        <w:ind w:left="0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>- Les cautions devront être présentées selon l’article 8-1 du cahier des conditions de l’appel d’offres</w:t>
      </w:r>
      <w:r w:rsidR="00451E0F">
        <w:rPr>
          <w:rFonts w:ascii="Book Antiqua" w:hAnsi="Book Antiqua" w:cs="Andalus"/>
          <w:b/>
          <w:i/>
          <w:sz w:val="26"/>
          <w:szCs w:val="26"/>
        </w:rPr>
        <w:t>.</w:t>
      </w:r>
    </w:p>
    <w:p w:rsidR="00451E0F" w:rsidRPr="00451E0F" w:rsidRDefault="00451E0F" w:rsidP="009B2090">
      <w:pPr>
        <w:pStyle w:val="Paragraphedeliste"/>
        <w:ind w:left="0"/>
        <w:jc w:val="both"/>
        <w:rPr>
          <w:rFonts w:ascii="Book Antiqua" w:hAnsi="Book Antiqua" w:cs="Andalus"/>
          <w:b/>
          <w:i/>
          <w:sz w:val="14"/>
          <w:szCs w:val="14"/>
        </w:rPr>
      </w:pPr>
      <w:bookmarkStart w:id="0" w:name="_GoBack"/>
      <w:bookmarkEnd w:id="0"/>
      <w:r w:rsidRPr="00451E0F">
        <w:rPr>
          <w:rFonts w:ascii="Book Antiqua" w:hAnsi="Book Antiqua" w:cs="Andalus"/>
          <w:b/>
          <w:i/>
          <w:sz w:val="14"/>
          <w:szCs w:val="14"/>
        </w:rPr>
        <w:t xml:space="preserve">  </w:t>
      </w:r>
    </w:p>
    <w:p w:rsidR="00451E0F" w:rsidRDefault="00451E0F" w:rsidP="00F02E9E">
      <w:pPr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-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Le dernier délai pour la réception  des offres à travers le système TUNEPS est fixé au </w:t>
      </w:r>
      <w:r w:rsidRPr="00AE3206">
        <w:rPr>
          <w:rFonts w:ascii="Book Antiqua" w:hAnsi="Book Antiqua" w:cs="Andalus"/>
          <w:b/>
          <w:i/>
          <w:sz w:val="26"/>
          <w:szCs w:val="26"/>
        </w:rPr>
        <w:t xml:space="preserve">: 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2</w:t>
      </w:r>
      <w:r w:rsidR="00F02E9E">
        <w:rPr>
          <w:rFonts w:ascii="Book Antiqua" w:hAnsi="Book Antiqua" w:cs="Andalus"/>
          <w:b/>
          <w:i/>
          <w:sz w:val="28"/>
          <w:szCs w:val="28"/>
          <w:u w:val="single"/>
        </w:rPr>
        <w:t>3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/08</w:t>
      </w:r>
      <w:r w:rsidRPr="004414AB">
        <w:rPr>
          <w:rFonts w:ascii="Book Antiqua" w:hAnsi="Book Antiqua" w:cs="Andalus"/>
          <w:b/>
          <w:i/>
          <w:sz w:val="28"/>
          <w:szCs w:val="28"/>
          <w:u w:val="single"/>
        </w:rPr>
        <w:t>/20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22 à 9H00</w:t>
      </w:r>
      <w:r w:rsidRPr="007242D1">
        <w:rPr>
          <w:rFonts w:ascii="Book Antiqua" w:hAnsi="Book Antiqua" w:cs="Andalus"/>
          <w:b/>
          <w:i/>
          <w:sz w:val="32"/>
          <w:szCs w:val="32"/>
        </w:rPr>
        <w:t xml:space="preserve">.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Toute offre parvenue après la date limite sera systématiquement rejetée. Seuls seront ouverts les  plis parvenus via le système TUNEPS </w:t>
      </w:r>
      <w:r>
        <w:rPr>
          <w:rFonts w:ascii="Book Antiqua" w:hAnsi="Book Antiqua" w:cs="Andalus"/>
          <w:b/>
          <w:i/>
          <w:sz w:val="26"/>
          <w:szCs w:val="26"/>
        </w:rPr>
        <w:t xml:space="preserve">et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au bureau d’ordre du siège de </w:t>
      </w:r>
      <w:proofErr w:type="spellStart"/>
      <w:r w:rsidRPr="006F5FA1">
        <w:rPr>
          <w:rFonts w:ascii="Book Antiqua" w:hAnsi="Book Antiqua" w:cs="Andalus"/>
          <w:b/>
          <w:i/>
          <w:sz w:val="26"/>
          <w:szCs w:val="26"/>
        </w:rPr>
        <w:t>Tunisair</w:t>
      </w:r>
      <w:proofErr w:type="spellEnd"/>
      <w:r w:rsidRPr="006F5FA1">
        <w:rPr>
          <w:rFonts w:ascii="Book Antiqua" w:hAnsi="Book Antiqua" w:cs="Andalus"/>
          <w:b/>
          <w:i/>
          <w:sz w:val="26"/>
          <w:szCs w:val="26"/>
        </w:rPr>
        <w:t xml:space="preserve"> </w:t>
      </w:r>
      <w:r>
        <w:rPr>
          <w:rFonts w:ascii="Book Antiqua" w:hAnsi="Book Antiqua" w:cs="Andalus"/>
          <w:b/>
          <w:i/>
          <w:sz w:val="26"/>
          <w:szCs w:val="26"/>
        </w:rPr>
        <w:t xml:space="preserve">pour les documents hors ligne </w:t>
      </w:r>
      <w:r w:rsidRPr="006F5FA1">
        <w:rPr>
          <w:rFonts w:ascii="Book Antiqua" w:hAnsi="Book Antiqua" w:cs="Andalus"/>
          <w:b/>
          <w:i/>
          <w:sz w:val="26"/>
          <w:szCs w:val="26"/>
        </w:rPr>
        <w:t>dan</w:t>
      </w:r>
      <w:r>
        <w:rPr>
          <w:rFonts w:ascii="Book Antiqua" w:hAnsi="Book Antiqua" w:cs="Andalus"/>
          <w:b/>
          <w:i/>
          <w:sz w:val="26"/>
          <w:szCs w:val="26"/>
        </w:rPr>
        <w:t>s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 les délais.</w:t>
      </w:r>
    </w:p>
    <w:p w:rsidR="00451E0F" w:rsidRPr="00451E0F" w:rsidRDefault="00451E0F" w:rsidP="00451E0F">
      <w:pPr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451E0F" w:rsidRPr="006F5FA1" w:rsidRDefault="00451E0F" w:rsidP="00F02E9E">
      <w:pPr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- La séance d’ouverture des plis sera  publique et aura lieu </w:t>
      </w:r>
      <w:r w:rsidRPr="00E40A87">
        <w:rPr>
          <w:rFonts w:ascii="Book Antiqua" w:hAnsi="Book Antiqua" w:cs="Andalus"/>
          <w:b/>
          <w:i/>
          <w:sz w:val="28"/>
          <w:szCs w:val="28"/>
        </w:rPr>
        <w:t xml:space="preserve">le 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2</w:t>
      </w:r>
      <w:r w:rsidR="00F02E9E">
        <w:rPr>
          <w:rFonts w:ascii="Book Antiqua" w:hAnsi="Book Antiqua" w:cs="Andalus"/>
          <w:b/>
          <w:i/>
          <w:sz w:val="28"/>
          <w:szCs w:val="28"/>
          <w:u w:val="single"/>
        </w:rPr>
        <w:t>3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/08/2022</w:t>
      </w:r>
      <w:r w:rsidRPr="00AE3206">
        <w:rPr>
          <w:rFonts w:ascii="Book Antiqua" w:hAnsi="Book Antiqua" w:cs="Andalus"/>
          <w:b/>
          <w:i/>
          <w:sz w:val="28"/>
          <w:szCs w:val="28"/>
          <w:u w:val="single"/>
        </w:rPr>
        <w:t xml:space="preserve"> à 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09</w:t>
      </w:r>
      <w:r w:rsidRPr="00AE3206">
        <w:rPr>
          <w:rFonts w:ascii="Book Antiqua" w:hAnsi="Book Antiqua" w:cs="Andalus"/>
          <w:b/>
          <w:i/>
          <w:sz w:val="28"/>
          <w:szCs w:val="28"/>
          <w:u w:val="single"/>
        </w:rPr>
        <w:t>H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30</w:t>
      </w:r>
      <w:r w:rsidRPr="00AE3206">
        <w:rPr>
          <w:rFonts w:ascii="Book Antiqua" w:hAnsi="Book Antiqua" w:cs="Andalus"/>
          <w:b/>
          <w:i/>
          <w:sz w:val="28"/>
          <w:szCs w:val="28"/>
        </w:rPr>
        <w:t xml:space="preserve">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au siège social de la société « TUNISAIR » et elle concerne à la fois la procédure matérielle et la procédure en ligne. </w:t>
      </w:r>
    </w:p>
    <w:p w:rsidR="00451E0F" w:rsidRDefault="00451E0F" w:rsidP="00451E0F">
      <w:pPr>
        <w:jc w:val="both"/>
        <w:rPr>
          <w:rFonts w:ascii="Book Antiqua" w:hAnsi="Book Antiqua" w:cs="Andalus"/>
          <w:b/>
          <w:i/>
          <w:sz w:val="26"/>
          <w:szCs w:val="26"/>
        </w:rPr>
      </w:pPr>
    </w:p>
    <w:p w:rsidR="007D1EDB" w:rsidRDefault="007D1EDB" w:rsidP="00565316">
      <w:pPr>
        <w:ind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Les soumissionnaires resteront engagés par </w:t>
      </w:r>
      <w:r w:rsidR="00565316">
        <w:rPr>
          <w:rFonts w:ascii="Book Antiqua" w:hAnsi="Book Antiqua" w:cs="Andalus"/>
          <w:b/>
          <w:i/>
          <w:sz w:val="26"/>
          <w:szCs w:val="26"/>
        </w:rPr>
        <w:t>leurs offres pour une période de</w:t>
      </w:r>
      <w:r w:rsidR="00453F59"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120 jours  à compter du jour suivant la date limite fixée pour la </w:t>
      </w:r>
      <w:r>
        <w:rPr>
          <w:rFonts w:ascii="Book Antiqua" w:hAnsi="Book Antiqua" w:cs="Andalus"/>
          <w:b/>
          <w:i/>
          <w:sz w:val="26"/>
          <w:szCs w:val="26"/>
        </w:rPr>
        <w:t>remise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des </w:t>
      </w:r>
      <w:r>
        <w:rPr>
          <w:rFonts w:ascii="Book Antiqua" w:hAnsi="Book Antiqua" w:cs="Andalus"/>
          <w:b/>
          <w:i/>
          <w:sz w:val="26"/>
          <w:szCs w:val="26"/>
        </w:rPr>
        <w:t>offres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. </w:t>
      </w:r>
    </w:p>
    <w:p w:rsidR="007D1EDB" w:rsidRDefault="007D1EDB" w:rsidP="007D1EDB">
      <w:pPr>
        <w:ind w:firstLine="708"/>
        <w:jc w:val="both"/>
        <w:rPr>
          <w:rFonts w:ascii="Book Antiqua" w:hAnsi="Book Antiqua" w:cs="Andalus"/>
          <w:b/>
          <w:i/>
          <w:sz w:val="12"/>
          <w:szCs w:val="12"/>
        </w:rPr>
      </w:pPr>
      <w:r w:rsidRPr="009B2090">
        <w:rPr>
          <w:rFonts w:ascii="Book Antiqua" w:hAnsi="Book Antiqua" w:cs="Andalus"/>
          <w:b/>
          <w:i/>
          <w:sz w:val="12"/>
          <w:szCs w:val="12"/>
        </w:rPr>
        <w:t xml:space="preserve">   </w:t>
      </w:r>
    </w:p>
    <w:p w:rsidR="00451E0F" w:rsidRPr="009B2090" w:rsidRDefault="00451E0F" w:rsidP="007D1EDB">
      <w:pPr>
        <w:ind w:firstLine="708"/>
        <w:jc w:val="both"/>
        <w:rPr>
          <w:rFonts w:ascii="Book Antiqua" w:hAnsi="Book Antiqua" w:cs="Andalus"/>
          <w:b/>
          <w:i/>
          <w:sz w:val="12"/>
          <w:szCs w:val="12"/>
        </w:rPr>
      </w:pPr>
    </w:p>
    <w:p w:rsidR="00AC5268" w:rsidRDefault="007D1EDB" w:rsidP="00565316">
      <w:pPr>
        <w:spacing w:before="100" w:beforeAutospacing="1" w:after="100" w:afterAutospacing="1"/>
        <w:jc w:val="both"/>
        <w:rPr>
          <w:b/>
          <w:iCs/>
          <w:sz w:val="36"/>
          <w:szCs w:val="36"/>
          <w:rtl/>
        </w:rPr>
      </w:pPr>
      <w:r w:rsidRPr="006B4B3A">
        <w:rPr>
          <w:b/>
          <w:iCs/>
          <w:sz w:val="28"/>
          <w:szCs w:val="28"/>
        </w:rPr>
        <w:t xml:space="preserve">                               </w:t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 w:rsidRPr="00CC1B6E">
        <w:rPr>
          <w:b/>
          <w:iCs/>
          <w:sz w:val="36"/>
          <w:szCs w:val="36"/>
        </w:rPr>
        <w:t>TUNISAIR</w:t>
      </w:r>
    </w:p>
    <w:sectPr w:rsidR="00AC5268" w:rsidSect="007601A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567" w:bottom="426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08" w:rsidRDefault="00110708" w:rsidP="00720032">
      <w:r>
        <w:separator/>
      </w:r>
    </w:p>
  </w:endnote>
  <w:endnote w:type="continuationSeparator" w:id="0">
    <w:p w:rsidR="00110708" w:rsidRDefault="00110708" w:rsidP="0072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0A415E">
    <w:pPr>
      <w:pStyle w:val="Pieddepage"/>
      <w:rPr>
        <w:b/>
      </w:rPr>
    </w:pPr>
    <w:r>
      <w:rPr>
        <w:i/>
      </w:rPr>
      <w:t xml:space="preserve"> </w:t>
    </w:r>
    <w:r>
      <w:rPr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1107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08" w:rsidRDefault="00110708" w:rsidP="00720032">
      <w:r>
        <w:separator/>
      </w:r>
    </w:p>
  </w:footnote>
  <w:footnote w:type="continuationSeparator" w:id="0">
    <w:p w:rsidR="00110708" w:rsidRDefault="00110708" w:rsidP="0072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110708" w:rsidP="00FB18F6">
    <w:pPr>
      <w:pStyle w:val="En-tte"/>
      <w:tabs>
        <w:tab w:val="right" w:pos="10620"/>
      </w:tabs>
      <w:ind w:right="-110"/>
      <w:jc w:val="center"/>
    </w:pPr>
  </w:p>
  <w:p w:rsidR="006D3A58" w:rsidRDefault="00110708" w:rsidP="00FB18F6">
    <w:pPr>
      <w:pStyle w:val="En-tte"/>
      <w:tabs>
        <w:tab w:val="right" w:pos="10620"/>
      </w:tabs>
      <w:ind w:right="-1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0A415E" w:rsidP="00872FE1">
    <w:pPr>
      <w:pStyle w:val="En-tte"/>
      <w:tabs>
        <w:tab w:val="right" w:pos="10620"/>
      </w:tabs>
      <w:ind w:right="-110"/>
    </w:pPr>
    <w:r>
      <w:object w:dxaOrig="12628" w:dyaOrig="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53.25pt" o:ole="">
          <v:imagedata r:id="rId1" o:title=""/>
        </v:shape>
        <o:OLEObject Type="Embed" ProgID="MSPhotoEd.3" ShapeID="_x0000_i1025" DrawAspect="Content" ObjectID="_1719824259" r:id="rId2"/>
      </w:object>
    </w:r>
    <w:r>
      <w:t xml:space="preserve">                                                     </w:t>
    </w:r>
    <w:r>
      <w:rPr>
        <w:rFonts w:hint="cs"/>
        <w:rtl/>
      </w:rPr>
      <w:t xml:space="preserve">                    </w:t>
    </w:r>
    <w:r>
      <w:tab/>
    </w:r>
  </w:p>
  <w:p w:rsidR="006D3A58" w:rsidRDefault="001107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D30"/>
    <w:multiLevelType w:val="hybridMultilevel"/>
    <w:tmpl w:val="1EB6971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1105C"/>
    <w:multiLevelType w:val="hybridMultilevel"/>
    <w:tmpl w:val="73B8B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7FA5"/>
    <w:multiLevelType w:val="hybridMultilevel"/>
    <w:tmpl w:val="62E211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D20F1"/>
    <w:multiLevelType w:val="hybridMultilevel"/>
    <w:tmpl w:val="BBAC2CB4"/>
    <w:lvl w:ilvl="0" w:tplc="5088C4C6">
      <w:start w:val="1"/>
      <w:numFmt w:val="bullet"/>
      <w:lvlText w:val="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71077"/>
    <w:multiLevelType w:val="hybridMultilevel"/>
    <w:tmpl w:val="6AC8D548"/>
    <w:lvl w:ilvl="0" w:tplc="56C4374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F2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eastAsia="Times New Roman" w:hAnsi="Arial Rounded MT Bold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C"/>
    <w:rsid w:val="000028F4"/>
    <w:rsid w:val="00041C9F"/>
    <w:rsid w:val="0004269A"/>
    <w:rsid w:val="00043768"/>
    <w:rsid w:val="00066AE0"/>
    <w:rsid w:val="00072ABA"/>
    <w:rsid w:val="00090F5D"/>
    <w:rsid w:val="0009551E"/>
    <w:rsid w:val="000A415E"/>
    <w:rsid w:val="000A7C27"/>
    <w:rsid w:val="000C1B45"/>
    <w:rsid w:val="00110708"/>
    <w:rsid w:val="00156500"/>
    <w:rsid w:val="00160887"/>
    <w:rsid w:val="00187E23"/>
    <w:rsid w:val="001909C4"/>
    <w:rsid w:val="001A2831"/>
    <w:rsid w:val="001A43F7"/>
    <w:rsid w:val="001C1EFB"/>
    <w:rsid w:val="001D498C"/>
    <w:rsid w:val="001E6B71"/>
    <w:rsid w:val="001F1490"/>
    <w:rsid w:val="00202515"/>
    <w:rsid w:val="002507E9"/>
    <w:rsid w:val="00265BFA"/>
    <w:rsid w:val="00296A91"/>
    <w:rsid w:val="002A4A69"/>
    <w:rsid w:val="002A4C7A"/>
    <w:rsid w:val="002A67D2"/>
    <w:rsid w:val="002C1B16"/>
    <w:rsid w:val="002C2118"/>
    <w:rsid w:val="002C5D39"/>
    <w:rsid w:val="002C7C46"/>
    <w:rsid w:val="002D0BF0"/>
    <w:rsid w:val="002D212B"/>
    <w:rsid w:val="002F14E6"/>
    <w:rsid w:val="00314949"/>
    <w:rsid w:val="0031525C"/>
    <w:rsid w:val="0033729D"/>
    <w:rsid w:val="00344889"/>
    <w:rsid w:val="00352267"/>
    <w:rsid w:val="00375CA6"/>
    <w:rsid w:val="00382C02"/>
    <w:rsid w:val="003B7949"/>
    <w:rsid w:val="003C77C5"/>
    <w:rsid w:val="003D5295"/>
    <w:rsid w:val="004012A9"/>
    <w:rsid w:val="004067D5"/>
    <w:rsid w:val="004129B4"/>
    <w:rsid w:val="00417C78"/>
    <w:rsid w:val="00441595"/>
    <w:rsid w:val="0044772F"/>
    <w:rsid w:val="004501C3"/>
    <w:rsid w:val="00451E0F"/>
    <w:rsid w:val="00451FF9"/>
    <w:rsid w:val="00453F59"/>
    <w:rsid w:val="004562EB"/>
    <w:rsid w:val="0048548C"/>
    <w:rsid w:val="004A308D"/>
    <w:rsid w:val="004A6218"/>
    <w:rsid w:val="004A7CE2"/>
    <w:rsid w:val="004D18E9"/>
    <w:rsid w:val="004D3A5C"/>
    <w:rsid w:val="004D6A50"/>
    <w:rsid w:val="004E3E40"/>
    <w:rsid w:val="004F3E59"/>
    <w:rsid w:val="004F5738"/>
    <w:rsid w:val="004F64E4"/>
    <w:rsid w:val="00505980"/>
    <w:rsid w:val="00506F06"/>
    <w:rsid w:val="00513C35"/>
    <w:rsid w:val="005309D2"/>
    <w:rsid w:val="00565293"/>
    <w:rsid w:val="00565316"/>
    <w:rsid w:val="005745FA"/>
    <w:rsid w:val="005755F6"/>
    <w:rsid w:val="00586D51"/>
    <w:rsid w:val="00587D46"/>
    <w:rsid w:val="005C0A4D"/>
    <w:rsid w:val="005F13D6"/>
    <w:rsid w:val="005F7B9A"/>
    <w:rsid w:val="006124FA"/>
    <w:rsid w:val="0062224D"/>
    <w:rsid w:val="00625A70"/>
    <w:rsid w:val="0064092A"/>
    <w:rsid w:val="0065211D"/>
    <w:rsid w:val="006612EA"/>
    <w:rsid w:val="00661ED0"/>
    <w:rsid w:val="00695F45"/>
    <w:rsid w:val="006C0F98"/>
    <w:rsid w:val="006C73F3"/>
    <w:rsid w:val="006C7404"/>
    <w:rsid w:val="0070229F"/>
    <w:rsid w:val="00720032"/>
    <w:rsid w:val="007211BF"/>
    <w:rsid w:val="007233F5"/>
    <w:rsid w:val="007418B6"/>
    <w:rsid w:val="00752593"/>
    <w:rsid w:val="00752AA5"/>
    <w:rsid w:val="007601A6"/>
    <w:rsid w:val="007A0261"/>
    <w:rsid w:val="007A3DDF"/>
    <w:rsid w:val="007A582E"/>
    <w:rsid w:val="007C472E"/>
    <w:rsid w:val="007D1EDB"/>
    <w:rsid w:val="007E2DBD"/>
    <w:rsid w:val="007E7839"/>
    <w:rsid w:val="007F33A1"/>
    <w:rsid w:val="00807C09"/>
    <w:rsid w:val="008138E2"/>
    <w:rsid w:val="00817A8A"/>
    <w:rsid w:val="00822611"/>
    <w:rsid w:val="008423CD"/>
    <w:rsid w:val="008501FC"/>
    <w:rsid w:val="00853189"/>
    <w:rsid w:val="00857210"/>
    <w:rsid w:val="0086294C"/>
    <w:rsid w:val="008904F0"/>
    <w:rsid w:val="008923A0"/>
    <w:rsid w:val="00894ED4"/>
    <w:rsid w:val="008A519A"/>
    <w:rsid w:val="008A7B5B"/>
    <w:rsid w:val="008A7DF4"/>
    <w:rsid w:val="00902EAA"/>
    <w:rsid w:val="00905F7F"/>
    <w:rsid w:val="0092037B"/>
    <w:rsid w:val="00922D57"/>
    <w:rsid w:val="00922FE2"/>
    <w:rsid w:val="009230B1"/>
    <w:rsid w:val="00932A51"/>
    <w:rsid w:val="00942F54"/>
    <w:rsid w:val="009555EC"/>
    <w:rsid w:val="00973C5E"/>
    <w:rsid w:val="0097754F"/>
    <w:rsid w:val="00983030"/>
    <w:rsid w:val="00990F3D"/>
    <w:rsid w:val="009913DB"/>
    <w:rsid w:val="009A2114"/>
    <w:rsid w:val="009A320D"/>
    <w:rsid w:val="009A45D7"/>
    <w:rsid w:val="009B02B4"/>
    <w:rsid w:val="009B2090"/>
    <w:rsid w:val="009E5358"/>
    <w:rsid w:val="00A225FB"/>
    <w:rsid w:val="00A31CCA"/>
    <w:rsid w:val="00A332AF"/>
    <w:rsid w:val="00A564CC"/>
    <w:rsid w:val="00A64CD2"/>
    <w:rsid w:val="00A66CEC"/>
    <w:rsid w:val="00A76169"/>
    <w:rsid w:val="00A84A9D"/>
    <w:rsid w:val="00A84CB5"/>
    <w:rsid w:val="00A8541E"/>
    <w:rsid w:val="00AB03BC"/>
    <w:rsid w:val="00AC5268"/>
    <w:rsid w:val="00B04B15"/>
    <w:rsid w:val="00B162F6"/>
    <w:rsid w:val="00B33C90"/>
    <w:rsid w:val="00B33F3B"/>
    <w:rsid w:val="00B440AE"/>
    <w:rsid w:val="00B56201"/>
    <w:rsid w:val="00B606EC"/>
    <w:rsid w:val="00B6594B"/>
    <w:rsid w:val="00B6751D"/>
    <w:rsid w:val="00B752DC"/>
    <w:rsid w:val="00B93B64"/>
    <w:rsid w:val="00BA3067"/>
    <w:rsid w:val="00BA5261"/>
    <w:rsid w:val="00BB43DB"/>
    <w:rsid w:val="00BD0AB2"/>
    <w:rsid w:val="00BF62D0"/>
    <w:rsid w:val="00BF6DF6"/>
    <w:rsid w:val="00C108E8"/>
    <w:rsid w:val="00C20824"/>
    <w:rsid w:val="00C478A9"/>
    <w:rsid w:val="00C578D8"/>
    <w:rsid w:val="00C57B09"/>
    <w:rsid w:val="00C62E87"/>
    <w:rsid w:val="00C63EC1"/>
    <w:rsid w:val="00C72957"/>
    <w:rsid w:val="00C92364"/>
    <w:rsid w:val="00C95D59"/>
    <w:rsid w:val="00CA250F"/>
    <w:rsid w:val="00CA43CF"/>
    <w:rsid w:val="00CB2320"/>
    <w:rsid w:val="00CD1B34"/>
    <w:rsid w:val="00CF6F37"/>
    <w:rsid w:val="00D3114C"/>
    <w:rsid w:val="00D31739"/>
    <w:rsid w:val="00D404A0"/>
    <w:rsid w:val="00D56281"/>
    <w:rsid w:val="00D90005"/>
    <w:rsid w:val="00D931E5"/>
    <w:rsid w:val="00DB646B"/>
    <w:rsid w:val="00DD375F"/>
    <w:rsid w:val="00DD3F85"/>
    <w:rsid w:val="00DF2608"/>
    <w:rsid w:val="00DF31E0"/>
    <w:rsid w:val="00E176BC"/>
    <w:rsid w:val="00E658CB"/>
    <w:rsid w:val="00E74B73"/>
    <w:rsid w:val="00E812CD"/>
    <w:rsid w:val="00E92E53"/>
    <w:rsid w:val="00E94AA6"/>
    <w:rsid w:val="00EA519A"/>
    <w:rsid w:val="00EB6D73"/>
    <w:rsid w:val="00EE3A21"/>
    <w:rsid w:val="00EE76B7"/>
    <w:rsid w:val="00EF2DE3"/>
    <w:rsid w:val="00F00CC7"/>
    <w:rsid w:val="00F02E9E"/>
    <w:rsid w:val="00F06440"/>
    <w:rsid w:val="00F11757"/>
    <w:rsid w:val="00F2527E"/>
    <w:rsid w:val="00F304A4"/>
    <w:rsid w:val="00F314D8"/>
    <w:rsid w:val="00F53570"/>
    <w:rsid w:val="00F73089"/>
    <w:rsid w:val="00F74330"/>
    <w:rsid w:val="00F8459B"/>
    <w:rsid w:val="00FA64AF"/>
    <w:rsid w:val="00FC0CD5"/>
    <w:rsid w:val="00FC23CB"/>
    <w:rsid w:val="00FD68C3"/>
    <w:rsid w:val="00FE5B51"/>
    <w:rsid w:val="00FF31E9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501F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501FC"/>
    <w:rPr>
      <w:rFonts w:ascii="Century Schoolbook" w:eastAsia="Times New Roman" w:hAnsi="Century Schoolbook" w:cs="Times New Roman"/>
      <w:b/>
      <w:i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50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501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4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7E"/>
    <w:rPr>
      <w:rFonts w:ascii="Tahoma" w:eastAsia="Times New Roman" w:hAnsi="Tahoma" w:cs="Tahoma"/>
      <w:sz w:val="16"/>
      <w:szCs w:val="16"/>
      <w:lang w:eastAsia="fr-FR"/>
    </w:rPr>
  </w:style>
  <w:style w:type="paragraph" w:styleId="Normalcentr">
    <w:name w:val="Block Text"/>
    <w:basedOn w:val="Normal"/>
    <w:rsid w:val="00565293"/>
    <w:pPr>
      <w:overflowPunct/>
      <w:autoSpaceDE/>
      <w:autoSpaceDN/>
      <w:adjustRightInd/>
      <w:ind w:left="540" w:right="101" w:firstLine="1260"/>
      <w:jc w:val="both"/>
      <w:textAlignment w:val="auto"/>
    </w:pPr>
    <w:rPr>
      <w:rFonts w:ascii="Arial" w:hAnsi="Arial"/>
      <w:sz w:val="24"/>
      <w:szCs w:val="24"/>
    </w:rPr>
  </w:style>
  <w:style w:type="table" w:styleId="Grilledutableau">
    <w:name w:val="Table Grid"/>
    <w:basedOn w:val="TableauNormal"/>
    <w:uiPriority w:val="59"/>
    <w:rsid w:val="00AC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6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501F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501FC"/>
    <w:rPr>
      <w:rFonts w:ascii="Century Schoolbook" w:eastAsia="Times New Roman" w:hAnsi="Century Schoolbook" w:cs="Times New Roman"/>
      <w:b/>
      <w:i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50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501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4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7E"/>
    <w:rPr>
      <w:rFonts w:ascii="Tahoma" w:eastAsia="Times New Roman" w:hAnsi="Tahoma" w:cs="Tahoma"/>
      <w:sz w:val="16"/>
      <w:szCs w:val="16"/>
      <w:lang w:eastAsia="fr-FR"/>
    </w:rPr>
  </w:style>
  <w:style w:type="paragraph" w:styleId="Normalcentr">
    <w:name w:val="Block Text"/>
    <w:basedOn w:val="Normal"/>
    <w:rsid w:val="00565293"/>
    <w:pPr>
      <w:overflowPunct/>
      <w:autoSpaceDE/>
      <w:autoSpaceDN/>
      <w:adjustRightInd/>
      <w:ind w:left="540" w:right="101" w:firstLine="1260"/>
      <w:jc w:val="both"/>
      <w:textAlignment w:val="auto"/>
    </w:pPr>
    <w:rPr>
      <w:rFonts w:ascii="Arial" w:hAnsi="Arial"/>
      <w:sz w:val="24"/>
      <w:szCs w:val="24"/>
    </w:rPr>
  </w:style>
  <w:style w:type="table" w:styleId="Grilledutableau">
    <w:name w:val="Table Grid"/>
    <w:basedOn w:val="TableauNormal"/>
    <w:uiPriority w:val="59"/>
    <w:rsid w:val="00AC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6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neps.t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neps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91FC-EE6C-462D-B12D-9741E91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tunisair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tunisair</dc:creator>
  <cp:lastModifiedBy>TN-</cp:lastModifiedBy>
  <cp:revision>4</cp:revision>
  <cp:lastPrinted>2022-07-20T11:11:00Z</cp:lastPrinted>
  <dcterms:created xsi:type="dcterms:W3CDTF">2022-07-20T10:54:00Z</dcterms:created>
  <dcterms:modified xsi:type="dcterms:W3CDTF">2022-07-20T11:11:00Z</dcterms:modified>
</cp:coreProperties>
</file>