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DE8" w:rsidRPr="00891242" w:rsidRDefault="00625DE8" w:rsidP="00625DE8">
      <w:pPr>
        <w:pStyle w:val="Titre"/>
        <w:rPr>
          <w:bCs/>
          <w:szCs w:val="28"/>
        </w:rPr>
      </w:pPr>
      <w:r w:rsidRPr="00891242">
        <w:rPr>
          <w:bCs/>
          <w:szCs w:val="28"/>
        </w:rPr>
        <w:t>REPUBLIQUE TUNISIENNE</w:t>
      </w:r>
    </w:p>
    <w:p w:rsidR="00625DE8" w:rsidRPr="00891242" w:rsidRDefault="00625DE8" w:rsidP="00625DE8">
      <w:pPr>
        <w:pStyle w:val="Titre2"/>
        <w:rPr>
          <w:rFonts w:hint="cs"/>
          <w:bCs/>
          <w:i w:val="0"/>
          <w:iCs w:val="0"/>
          <w:szCs w:val="28"/>
          <w:rtl/>
        </w:rPr>
      </w:pPr>
      <w:r w:rsidRPr="00891242">
        <w:rPr>
          <w:bCs/>
          <w:i w:val="0"/>
          <w:iCs w:val="0"/>
          <w:szCs w:val="28"/>
        </w:rPr>
        <w:t xml:space="preserve">Ministère de l’Environnement </w:t>
      </w:r>
    </w:p>
    <w:p w:rsidR="00625DE8" w:rsidRPr="00891242" w:rsidRDefault="00625DE8" w:rsidP="00625DE8">
      <w:pPr>
        <w:pStyle w:val="Titre2"/>
        <w:rPr>
          <w:rStyle w:val="lev"/>
          <w:b/>
          <w:bCs w:val="0"/>
          <w:i w:val="0"/>
          <w:iCs w:val="0"/>
        </w:rPr>
      </w:pPr>
      <w:r w:rsidRPr="00891242">
        <w:rPr>
          <w:rStyle w:val="lev"/>
          <w:b/>
          <w:bCs w:val="0"/>
          <w:i w:val="0"/>
          <w:iCs w:val="0"/>
        </w:rPr>
        <w:t>OFFICE NATIONAL DE L'ASSAINISSEMENT</w:t>
      </w:r>
    </w:p>
    <w:p w:rsidR="00625DE8" w:rsidRDefault="00625DE8" w:rsidP="00625DE8">
      <w:pPr>
        <w:jc w:val="center"/>
        <w:rPr>
          <w:b/>
          <w:bCs/>
        </w:rPr>
      </w:pPr>
      <w:r>
        <w:rPr>
          <w:b/>
          <w:bCs/>
          <w:noProof/>
          <w:sz w:val="16"/>
          <w:szCs w:val="16"/>
        </w:rPr>
        <w:drawing>
          <wp:anchor distT="0" distB="0" distL="114300" distR="114300" simplePos="0" relativeHeight="251659264" behindDoc="0" locked="0" layoutInCell="1" allowOverlap="1">
            <wp:simplePos x="0" y="0"/>
            <wp:positionH relativeFrom="column">
              <wp:posOffset>2555875</wp:posOffset>
            </wp:positionH>
            <wp:positionV relativeFrom="paragraph">
              <wp:posOffset>41910</wp:posOffset>
            </wp:positionV>
            <wp:extent cx="952500" cy="612140"/>
            <wp:effectExtent l="0" t="0" r="0" b="0"/>
            <wp:wrapSquare wrapText="bothSides"/>
            <wp:docPr id="2" name="Image 2" descr="Siegle ONAS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7" descr="Siegle ONAS 20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DE8" w:rsidRPr="00B058DD" w:rsidRDefault="00625DE8" w:rsidP="00625DE8">
      <w:pPr>
        <w:jc w:val="center"/>
        <w:rPr>
          <w:b/>
          <w:bCs/>
          <w:sz w:val="16"/>
          <w:szCs w:val="16"/>
        </w:rPr>
      </w:pPr>
    </w:p>
    <w:p w:rsidR="00625DE8" w:rsidRDefault="00625DE8" w:rsidP="00625DE8">
      <w:pPr>
        <w:jc w:val="center"/>
        <w:rPr>
          <w:b/>
          <w:bCs/>
          <w:sz w:val="28"/>
          <w:szCs w:val="28"/>
        </w:rPr>
      </w:pPr>
      <w:r>
        <w:rPr>
          <w:b/>
          <w:bCs/>
          <w:sz w:val="28"/>
          <w:szCs w:val="28"/>
        </w:rPr>
        <w:t xml:space="preserve">  </w:t>
      </w:r>
    </w:p>
    <w:p w:rsidR="00625DE8" w:rsidRDefault="00625DE8" w:rsidP="00625DE8">
      <w:pPr>
        <w:jc w:val="center"/>
        <w:rPr>
          <w:b/>
          <w:bCs/>
          <w:sz w:val="28"/>
          <w:szCs w:val="28"/>
        </w:rPr>
      </w:pPr>
    </w:p>
    <w:p w:rsidR="00625DE8" w:rsidRDefault="00625DE8" w:rsidP="00625DE8">
      <w:pPr>
        <w:jc w:val="center"/>
        <w:rPr>
          <w:b/>
          <w:bCs/>
          <w:sz w:val="28"/>
          <w:szCs w:val="28"/>
        </w:rPr>
      </w:pPr>
      <w:r>
        <w:rPr>
          <w:b/>
          <w:bCs/>
          <w:sz w:val="28"/>
          <w:szCs w:val="28"/>
        </w:rPr>
        <w:t xml:space="preserve">AVIS D’APPEL D’OFFRES NATIONAL OUVERT </w:t>
      </w:r>
    </w:p>
    <w:p w:rsidR="00625DE8" w:rsidRDefault="00625DE8" w:rsidP="00625DE8">
      <w:pPr>
        <w:jc w:val="center"/>
        <w:rPr>
          <w:b/>
          <w:bCs/>
          <w:sz w:val="28"/>
          <w:szCs w:val="28"/>
        </w:rPr>
      </w:pPr>
      <w:r>
        <w:rPr>
          <w:b/>
          <w:bCs/>
          <w:sz w:val="28"/>
          <w:szCs w:val="28"/>
        </w:rPr>
        <w:t>N° 08 / 2022</w:t>
      </w:r>
    </w:p>
    <w:p w:rsidR="00625DE8" w:rsidRDefault="00625DE8" w:rsidP="00625DE8">
      <w:pPr>
        <w:ind w:left="-426" w:right="-567"/>
        <w:jc w:val="center"/>
        <w:rPr>
          <w:b/>
          <w:bCs/>
          <w:sz w:val="22"/>
          <w:szCs w:val="22"/>
        </w:rPr>
      </w:pPr>
    </w:p>
    <w:p w:rsidR="00625DE8" w:rsidRPr="00B76322" w:rsidRDefault="00625DE8" w:rsidP="00625DE8">
      <w:pPr>
        <w:spacing w:line="276" w:lineRule="auto"/>
        <w:ind w:right="112"/>
        <w:jc w:val="both"/>
        <w:rPr>
          <w:b/>
          <w:bCs/>
          <w:sz w:val="24"/>
          <w:szCs w:val="24"/>
        </w:rPr>
      </w:pPr>
      <w:r w:rsidRPr="00E53DBB">
        <w:rPr>
          <w:sz w:val="24"/>
          <w:szCs w:val="24"/>
        </w:rPr>
        <w:t xml:space="preserve">L’Office National de l’Assainissement « ONAS » lance un appel d’offres national ouvert pour les </w:t>
      </w:r>
      <w:r w:rsidRPr="00E53DBB">
        <w:rPr>
          <w:b/>
          <w:bCs/>
          <w:sz w:val="24"/>
          <w:szCs w:val="24"/>
        </w:rPr>
        <w:t>travaux d’</w:t>
      </w:r>
      <w:r>
        <w:rPr>
          <w:b/>
          <w:bCs/>
          <w:sz w:val="24"/>
          <w:szCs w:val="24"/>
        </w:rPr>
        <w:t>a</w:t>
      </w:r>
      <w:r w:rsidRPr="00E53DBB">
        <w:rPr>
          <w:b/>
          <w:bCs/>
          <w:sz w:val="24"/>
          <w:szCs w:val="24"/>
        </w:rPr>
        <w:t>ssainissement en eaux usées des localités Erriadh, Méllita et Sidi Mehrez à la ville de Djerba Houmet Essouk (</w:t>
      </w:r>
      <w:r>
        <w:rPr>
          <w:b/>
          <w:bCs/>
          <w:sz w:val="24"/>
          <w:szCs w:val="24"/>
        </w:rPr>
        <w:t>t</w:t>
      </w:r>
      <w:r w:rsidRPr="00E53DBB">
        <w:rPr>
          <w:b/>
          <w:bCs/>
          <w:sz w:val="24"/>
          <w:szCs w:val="24"/>
        </w:rPr>
        <w:t>ransport et pose des conduites, Génie civil et Equipement des stations de pompage)</w:t>
      </w:r>
      <w:r w:rsidRPr="00E53DBB">
        <w:rPr>
          <w:sz w:val="24"/>
          <w:szCs w:val="24"/>
        </w:rPr>
        <w:t xml:space="preserve">, </w:t>
      </w:r>
      <w:r w:rsidRPr="00B76322">
        <w:rPr>
          <w:sz w:val="24"/>
          <w:szCs w:val="24"/>
        </w:rPr>
        <w:t xml:space="preserve">financé partiellement par L’Agence Française De Développement </w:t>
      </w:r>
      <w:r w:rsidRPr="00B76322">
        <w:rPr>
          <w:b/>
          <w:bCs/>
          <w:sz w:val="24"/>
          <w:szCs w:val="24"/>
        </w:rPr>
        <w:t>(AFD)</w:t>
      </w:r>
      <w:r w:rsidRPr="00B76322">
        <w:rPr>
          <w:sz w:val="24"/>
          <w:szCs w:val="24"/>
        </w:rPr>
        <w:t xml:space="preserve">, la Banque Européenne d’Investissement </w:t>
      </w:r>
      <w:r w:rsidRPr="00B76322">
        <w:rPr>
          <w:b/>
          <w:bCs/>
          <w:sz w:val="24"/>
          <w:szCs w:val="24"/>
        </w:rPr>
        <w:t>(BEI)</w:t>
      </w:r>
      <w:r w:rsidRPr="00B76322">
        <w:rPr>
          <w:sz w:val="24"/>
          <w:szCs w:val="24"/>
        </w:rPr>
        <w:t xml:space="preserve"> et l’Union Européenne </w:t>
      </w:r>
      <w:r w:rsidRPr="00B76322">
        <w:rPr>
          <w:b/>
          <w:bCs/>
          <w:sz w:val="24"/>
          <w:szCs w:val="24"/>
        </w:rPr>
        <w:t>(UE)</w:t>
      </w:r>
      <w:r w:rsidRPr="00B76322">
        <w:rPr>
          <w:sz w:val="24"/>
          <w:szCs w:val="24"/>
        </w:rPr>
        <w:t xml:space="preserve"> dans le cadre du Programme de Dépollution de la Méditerranée </w:t>
      </w:r>
      <w:r w:rsidRPr="00B76322">
        <w:rPr>
          <w:b/>
          <w:bCs/>
          <w:sz w:val="24"/>
          <w:szCs w:val="24"/>
        </w:rPr>
        <w:t>(DEPOLMED).</w:t>
      </w:r>
    </w:p>
    <w:p w:rsidR="00625DE8" w:rsidRPr="00A44AED" w:rsidRDefault="00625DE8" w:rsidP="00625DE8">
      <w:pPr>
        <w:pStyle w:val="Corpsdetexte2"/>
        <w:bidi w:val="0"/>
        <w:spacing w:line="276" w:lineRule="auto"/>
        <w:ind w:right="112"/>
        <w:rPr>
          <w:b w:val="0"/>
          <w:bCs w:val="0"/>
        </w:rPr>
      </w:pPr>
      <w:r w:rsidRPr="00A44AED">
        <w:rPr>
          <w:b w:val="0"/>
          <w:bCs w:val="0"/>
        </w:rPr>
        <w:t>Les travaux projetés consistent en :</w:t>
      </w:r>
    </w:p>
    <w:p w:rsidR="00625DE8" w:rsidRPr="001D737F" w:rsidRDefault="00625DE8" w:rsidP="00625DE8">
      <w:pPr>
        <w:pStyle w:val="Corpsdetexte2"/>
        <w:numPr>
          <w:ilvl w:val="0"/>
          <w:numId w:val="2"/>
        </w:numPr>
        <w:bidi w:val="0"/>
        <w:spacing w:line="276" w:lineRule="auto"/>
        <w:ind w:left="0" w:right="112"/>
        <w:rPr>
          <w:b w:val="0"/>
          <w:bCs w:val="0"/>
          <w:sz w:val="20"/>
          <w:szCs w:val="20"/>
        </w:rPr>
      </w:pPr>
      <w:r w:rsidRPr="00A44AED">
        <w:rPr>
          <w:b w:val="0"/>
          <w:bCs w:val="0"/>
        </w:rPr>
        <w:t xml:space="preserve">Le transport et la pose de </w:t>
      </w:r>
      <w:r w:rsidRPr="00A44AED">
        <w:t>22 950</w:t>
      </w:r>
      <w:r w:rsidRPr="00A44AED">
        <w:rPr>
          <w:b w:val="0"/>
          <w:bCs w:val="0"/>
        </w:rPr>
        <w:t xml:space="preserve"> ml de conduites gravitaires DN160 mm en PVC</w:t>
      </w:r>
      <w:r w:rsidRPr="001D737F">
        <w:rPr>
          <w:b w:val="0"/>
          <w:bCs w:val="0"/>
          <w:sz w:val="20"/>
          <w:szCs w:val="20"/>
        </w:rPr>
        <w:t xml:space="preserve"> ;</w:t>
      </w:r>
    </w:p>
    <w:p w:rsidR="00625DE8" w:rsidRPr="001D737F" w:rsidRDefault="00625DE8" w:rsidP="00625DE8">
      <w:pPr>
        <w:pStyle w:val="Corpsdetexte2"/>
        <w:numPr>
          <w:ilvl w:val="0"/>
          <w:numId w:val="2"/>
        </w:numPr>
        <w:bidi w:val="0"/>
        <w:spacing w:line="276" w:lineRule="auto"/>
        <w:ind w:left="0" w:right="112"/>
        <w:rPr>
          <w:b w:val="0"/>
          <w:bCs w:val="0"/>
          <w:sz w:val="20"/>
          <w:szCs w:val="20"/>
        </w:rPr>
      </w:pPr>
      <w:r w:rsidRPr="00A44AED">
        <w:rPr>
          <w:b w:val="0"/>
          <w:bCs w:val="0"/>
        </w:rPr>
        <w:t xml:space="preserve">Le transport et la pose de </w:t>
      </w:r>
      <w:r w:rsidRPr="00A44AED">
        <w:t>25 150</w:t>
      </w:r>
      <w:r w:rsidRPr="00A44AED">
        <w:rPr>
          <w:b w:val="0"/>
          <w:bCs w:val="0"/>
        </w:rPr>
        <w:t xml:space="preserve"> ml de conduites gravitaires DN250 mm en PVC</w:t>
      </w:r>
      <w:r w:rsidRPr="001D737F">
        <w:rPr>
          <w:b w:val="0"/>
          <w:bCs w:val="0"/>
          <w:sz w:val="20"/>
          <w:szCs w:val="20"/>
        </w:rPr>
        <w:t>;</w:t>
      </w:r>
    </w:p>
    <w:p w:rsidR="00625DE8" w:rsidRPr="001D737F" w:rsidRDefault="00625DE8" w:rsidP="00625DE8">
      <w:pPr>
        <w:pStyle w:val="Corpsdetexte2"/>
        <w:numPr>
          <w:ilvl w:val="0"/>
          <w:numId w:val="2"/>
        </w:numPr>
        <w:bidi w:val="0"/>
        <w:spacing w:line="276" w:lineRule="auto"/>
        <w:ind w:left="0" w:right="112"/>
        <w:rPr>
          <w:b w:val="0"/>
          <w:bCs w:val="0"/>
          <w:sz w:val="20"/>
          <w:szCs w:val="20"/>
        </w:rPr>
      </w:pPr>
      <w:r w:rsidRPr="00A44AED">
        <w:rPr>
          <w:b w:val="0"/>
          <w:bCs w:val="0"/>
        </w:rPr>
        <w:t xml:space="preserve">Le transport et la pose de </w:t>
      </w:r>
      <w:r w:rsidRPr="00A44AED">
        <w:t>5 700</w:t>
      </w:r>
      <w:r w:rsidRPr="00A44AED">
        <w:rPr>
          <w:b w:val="0"/>
          <w:bCs w:val="0"/>
        </w:rPr>
        <w:t xml:space="preserve"> ml de conduites de refoulement DN250 mm en PEHD</w:t>
      </w:r>
      <w:r w:rsidRPr="001D737F">
        <w:rPr>
          <w:b w:val="0"/>
          <w:bCs w:val="0"/>
          <w:sz w:val="20"/>
          <w:szCs w:val="20"/>
        </w:rPr>
        <w:t>;</w:t>
      </w:r>
    </w:p>
    <w:p w:rsidR="00625DE8" w:rsidRPr="001D737F" w:rsidRDefault="00625DE8" w:rsidP="00625DE8">
      <w:pPr>
        <w:pStyle w:val="Corpsdetexte2"/>
        <w:numPr>
          <w:ilvl w:val="0"/>
          <w:numId w:val="2"/>
        </w:numPr>
        <w:bidi w:val="0"/>
        <w:spacing w:line="276" w:lineRule="auto"/>
        <w:ind w:left="0" w:right="112"/>
        <w:rPr>
          <w:b w:val="0"/>
          <w:bCs w:val="0"/>
          <w:sz w:val="20"/>
          <w:szCs w:val="20"/>
        </w:rPr>
      </w:pPr>
      <w:r w:rsidRPr="00A44AED">
        <w:rPr>
          <w:b w:val="0"/>
          <w:bCs w:val="0"/>
        </w:rPr>
        <w:t xml:space="preserve">La réalisation de </w:t>
      </w:r>
      <w:r w:rsidRPr="00A44AED">
        <w:t>2 700</w:t>
      </w:r>
      <w:r w:rsidRPr="00A44AED">
        <w:rPr>
          <w:b w:val="0"/>
          <w:bCs w:val="0"/>
        </w:rPr>
        <w:t xml:space="preserve"> boites de branchement</w:t>
      </w:r>
      <w:r w:rsidRPr="001D737F">
        <w:rPr>
          <w:b w:val="0"/>
          <w:bCs w:val="0"/>
          <w:sz w:val="20"/>
          <w:szCs w:val="20"/>
        </w:rPr>
        <w:t> ;</w:t>
      </w:r>
    </w:p>
    <w:p w:rsidR="00625DE8" w:rsidRPr="00632B0E" w:rsidRDefault="00625DE8" w:rsidP="00625DE8">
      <w:pPr>
        <w:pStyle w:val="Corpsdetexte2"/>
        <w:numPr>
          <w:ilvl w:val="0"/>
          <w:numId w:val="2"/>
        </w:numPr>
        <w:bidi w:val="0"/>
        <w:spacing w:line="276" w:lineRule="auto"/>
        <w:ind w:left="0" w:right="112"/>
        <w:rPr>
          <w:rFonts w:cs="Arabic Transparent"/>
          <w:b w:val="0"/>
          <w:bCs w:val="0"/>
          <w:sz w:val="20"/>
          <w:szCs w:val="20"/>
        </w:rPr>
      </w:pPr>
      <w:r w:rsidRPr="00B94BC5">
        <w:rPr>
          <w:b w:val="0"/>
          <w:bCs w:val="0"/>
        </w:rPr>
        <w:t xml:space="preserve">La réalisation de tous les ouvrages de 2 stations de pompage : </w:t>
      </w:r>
      <w:r w:rsidRPr="00B94BC5">
        <w:rPr>
          <w:b w:val="0"/>
          <w:bCs w:val="0"/>
          <w:sz w:val="22"/>
          <w:szCs w:val="22"/>
        </w:rPr>
        <w:t>SP5</w:t>
      </w:r>
      <w:r w:rsidRPr="00B94BC5">
        <w:rPr>
          <w:b w:val="0"/>
          <w:bCs w:val="0"/>
        </w:rPr>
        <w:t xml:space="preserve"> (</w:t>
      </w:r>
      <w:r w:rsidRPr="00B94BC5">
        <w:rPr>
          <w:b w:val="0"/>
          <w:bCs w:val="0"/>
          <w:sz w:val="22"/>
          <w:szCs w:val="22"/>
        </w:rPr>
        <w:t>Q=50l/s – HMT=52mCE</w:t>
      </w:r>
      <w:r w:rsidRPr="00B94BC5">
        <w:rPr>
          <w:b w:val="0"/>
          <w:bCs w:val="0"/>
        </w:rPr>
        <w:t xml:space="preserve">) à la Cité Mellita et </w:t>
      </w:r>
      <w:r w:rsidRPr="00B94BC5">
        <w:rPr>
          <w:b w:val="0"/>
          <w:bCs w:val="0"/>
          <w:sz w:val="22"/>
          <w:szCs w:val="22"/>
        </w:rPr>
        <w:t>SP6</w:t>
      </w:r>
      <w:r w:rsidRPr="00B94BC5">
        <w:rPr>
          <w:b w:val="0"/>
          <w:bCs w:val="0"/>
        </w:rPr>
        <w:t xml:space="preserve"> (</w:t>
      </w:r>
      <w:r w:rsidRPr="00B94BC5">
        <w:rPr>
          <w:b w:val="0"/>
          <w:bCs w:val="0"/>
          <w:sz w:val="22"/>
          <w:szCs w:val="22"/>
        </w:rPr>
        <w:t>Q=58l/s - HMT=42mCE</w:t>
      </w:r>
      <w:r w:rsidRPr="00B94BC5">
        <w:rPr>
          <w:b w:val="0"/>
          <w:bCs w:val="0"/>
        </w:rPr>
        <w:t>) à la Cité Erriadh</w:t>
      </w:r>
      <w:r w:rsidRPr="00632B0E">
        <w:rPr>
          <w:rFonts w:cs="Arabic Transparent"/>
          <w:b w:val="0"/>
          <w:bCs w:val="0"/>
          <w:sz w:val="20"/>
          <w:szCs w:val="20"/>
        </w:rPr>
        <w:t>.</w:t>
      </w:r>
    </w:p>
    <w:p w:rsidR="00625DE8" w:rsidRPr="00287460" w:rsidRDefault="00625DE8" w:rsidP="00625DE8">
      <w:pPr>
        <w:pStyle w:val="Corpsdetexte2"/>
        <w:bidi w:val="0"/>
        <w:ind w:right="112"/>
        <w:rPr>
          <w:b w:val="0"/>
          <w:bCs w:val="0"/>
          <w:sz w:val="14"/>
          <w:szCs w:val="14"/>
          <w:highlight w:val="cyan"/>
        </w:rPr>
      </w:pPr>
    </w:p>
    <w:p w:rsidR="00625DE8" w:rsidRPr="00681ED7" w:rsidRDefault="00625DE8" w:rsidP="00625DE8">
      <w:pPr>
        <w:spacing w:line="276" w:lineRule="auto"/>
        <w:ind w:right="112"/>
        <w:jc w:val="both"/>
        <w:rPr>
          <w:sz w:val="24"/>
          <w:szCs w:val="24"/>
        </w:rPr>
      </w:pPr>
      <w:r w:rsidRPr="00681ED7">
        <w:rPr>
          <w:sz w:val="24"/>
          <w:szCs w:val="24"/>
        </w:rPr>
        <w:t>La participation à l'appel d'offres est ouverte à égalité, à toutes les personnes physiques et morales capables de s'obliger et présentant les garanties notamment techniques et financières et les références nécessaires pour la bonne exécution de leurs obligations, et qui ne se trouvent pas en état de faillite ou de liquidation judiciaire.</w:t>
      </w:r>
    </w:p>
    <w:p w:rsidR="00625DE8" w:rsidRPr="0056521F" w:rsidRDefault="00625DE8" w:rsidP="00625DE8">
      <w:pPr>
        <w:numPr>
          <w:ilvl w:val="0"/>
          <w:numId w:val="3"/>
        </w:numPr>
        <w:spacing w:before="120" w:line="276" w:lineRule="auto"/>
        <w:ind w:left="0" w:right="112"/>
        <w:jc w:val="both"/>
        <w:rPr>
          <w:b/>
          <w:bCs/>
        </w:rPr>
      </w:pPr>
      <w:bookmarkStart w:id="0" w:name="_Hlk86071072"/>
      <w:r w:rsidRPr="00681ED7">
        <w:rPr>
          <w:sz w:val="24"/>
          <w:szCs w:val="24"/>
        </w:rPr>
        <w:t>Les travaux de génie civil doivent être confiés à une entreprise ayant un agrément dans les voiries réseaux divers suivants :</w:t>
      </w:r>
      <w:r w:rsidRPr="00681ED7">
        <w:t xml:space="preserve"> </w:t>
      </w:r>
      <w:r w:rsidRPr="009F625A">
        <w:rPr>
          <w:b/>
          <w:bCs/>
          <w:sz w:val="24"/>
          <w:szCs w:val="24"/>
        </w:rPr>
        <w:t>VRD0 catégorie3 ou VRD1 catégorie5 ou VRD3 catégorie4 au minimum</w:t>
      </w:r>
    </w:p>
    <w:p w:rsidR="00625DE8" w:rsidRPr="00681ED7" w:rsidRDefault="00625DE8" w:rsidP="00625DE8">
      <w:pPr>
        <w:numPr>
          <w:ilvl w:val="0"/>
          <w:numId w:val="3"/>
        </w:numPr>
        <w:spacing w:line="276" w:lineRule="auto"/>
        <w:ind w:left="0" w:right="112"/>
        <w:jc w:val="both"/>
        <w:rPr>
          <w:sz w:val="24"/>
          <w:szCs w:val="24"/>
        </w:rPr>
      </w:pPr>
      <w:r w:rsidRPr="00681ED7">
        <w:rPr>
          <w:sz w:val="24"/>
          <w:szCs w:val="24"/>
        </w:rPr>
        <w:t>Les prestations de fourniture, montage et essai des équipements électromécaniques doivent être confiées à une entreprise spécialisée</w:t>
      </w:r>
      <w:r>
        <w:rPr>
          <w:sz w:val="24"/>
          <w:szCs w:val="24"/>
        </w:rPr>
        <w:t xml:space="preserve"> dans le domaine des équipements</w:t>
      </w:r>
      <w:r w:rsidRPr="00681ED7">
        <w:rPr>
          <w:sz w:val="24"/>
          <w:szCs w:val="24"/>
        </w:rPr>
        <w:t>.</w:t>
      </w:r>
    </w:p>
    <w:p w:rsidR="00625DE8" w:rsidRDefault="00625DE8" w:rsidP="00625DE8">
      <w:pPr>
        <w:numPr>
          <w:ilvl w:val="0"/>
          <w:numId w:val="3"/>
        </w:numPr>
        <w:spacing w:line="276" w:lineRule="auto"/>
        <w:ind w:left="0" w:right="112"/>
        <w:jc w:val="both"/>
        <w:rPr>
          <w:sz w:val="24"/>
          <w:szCs w:val="24"/>
        </w:rPr>
      </w:pPr>
      <w:r w:rsidRPr="00681ED7">
        <w:rPr>
          <w:sz w:val="24"/>
          <w:szCs w:val="24"/>
        </w:rPr>
        <w:t>Les entreprises peuvent participer individuellement ou en groupement.</w:t>
      </w:r>
    </w:p>
    <w:p w:rsidR="00625DE8" w:rsidRDefault="00625DE8" w:rsidP="00625DE8">
      <w:pPr>
        <w:numPr>
          <w:ilvl w:val="0"/>
          <w:numId w:val="3"/>
        </w:numPr>
        <w:spacing w:line="276" w:lineRule="auto"/>
        <w:ind w:left="0" w:right="112"/>
        <w:jc w:val="both"/>
        <w:rPr>
          <w:sz w:val="24"/>
          <w:szCs w:val="24"/>
        </w:rPr>
      </w:pPr>
      <w:r w:rsidRPr="00681ED7">
        <w:rPr>
          <w:sz w:val="24"/>
          <w:szCs w:val="24"/>
        </w:rPr>
        <w:t>En cas de participation en groupement, le groupement doit être solidaire et le chef de file sera l’entreprise de génie civil.</w:t>
      </w:r>
    </w:p>
    <w:p w:rsidR="00625DE8" w:rsidRPr="00BE0582" w:rsidRDefault="00625DE8" w:rsidP="00625DE8">
      <w:pPr>
        <w:numPr>
          <w:ilvl w:val="0"/>
          <w:numId w:val="3"/>
        </w:numPr>
        <w:spacing w:line="276" w:lineRule="auto"/>
        <w:ind w:left="0" w:right="112"/>
        <w:jc w:val="both"/>
        <w:rPr>
          <w:sz w:val="24"/>
          <w:szCs w:val="24"/>
        </w:rPr>
      </w:pPr>
      <w:r w:rsidRPr="005D7E65">
        <w:rPr>
          <w:sz w:val="24"/>
          <w:szCs w:val="24"/>
        </w:rPr>
        <w:t>L’entreprise de Génie Civil peut participer en groupement ou avec un sous-traitant pour les équipements</w:t>
      </w:r>
      <w:r>
        <w:rPr>
          <w:rFonts w:hint="cs"/>
          <w:sz w:val="24"/>
          <w:szCs w:val="24"/>
          <w:rtl/>
        </w:rPr>
        <w:t>.</w:t>
      </w:r>
    </w:p>
    <w:bookmarkEnd w:id="0"/>
    <w:p w:rsidR="00625DE8" w:rsidRPr="0056521F" w:rsidRDefault="00625DE8" w:rsidP="00625DE8">
      <w:pPr>
        <w:ind w:right="112"/>
        <w:jc w:val="both"/>
        <w:rPr>
          <w:color w:val="FF0000"/>
          <w:sz w:val="6"/>
          <w:szCs w:val="6"/>
        </w:rPr>
      </w:pPr>
    </w:p>
    <w:p w:rsidR="00625DE8" w:rsidRPr="00863C86" w:rsidRDefault="00625DE8" w:rsidP="00625DE8">
      <w:pPr>
        <w:pStyle w:val="Normal1"/>
        <w:ind w:right="112"/>
        <w:rPr>
          <w:b/>
          <w:sz w:val="24"/>
          <w:szCs w:val="24"/>
          <w:rtl/>
        </w:rPr>
      </w:pPr>
      <w:r w:rsidRPr="00863C86">
        <w:rPr>
          <w:b/>
          <w:sz w:val="24"/>
          <w:szCs w:val="24"/>
        </w:rPr>
        <w:t>Les entreprises désirant participer individuellement et / ou en groupement au présent appel d’offres doivent être inscrites sur le système des achats publics en ligne « TUNEPS ».</w:t>
      </w:r>
    </w:p>
    <w:p w:rsidR="00625DE8" w:rsidRPr="00863C86" w:rsidRDefault="00625DE8" w:rsidP="00625DE8">
      <w:pPr>
        <w:pStyle w:val="Normal1"/>
        <w:ind w:right="112"/>
        <w:rPr>
          <w:b/>
          <w:bCs/>
          <w:sz w:val="24"/>
          <w:szCs w:val="24"/>
          <w:rtl/>
        </w:rPr>
      </w:pPr>
      <w:r w:rsidRPr="00863C86">
        <w:rPr>
          <w:b/>
          <w:bCs/>
          <w:sz w:val="24"/>
          <w:szCs w:val="24"/>
        </w:rPr>
        <w:t xml:space="preserve"> Les soumissionnaires inscrits sur le système des achats publics en ligne « Tuneps » et désirant participer à l’appel d’offres, peuvent télécharger gratuitement le cahier des charges à travers le site web « www.tuneps.tn ».</w:t>
      </w:r>
    </w:p>
    <w:p w:rsidR="00625DE8" w:rsidRPr="00D46F82" w:rsidRDefault="00625DE8" w:rsidP="00625DE8">
      <w:pPr>
        <w:pStyle w:val="Normal1"/>
        <w:ind w:right="112"/>
        <w:rPr>
          <w:sz w:val="24"/>
          <w:szCs w:val="24"/>
          <w:rtl/>
        </w:rPr>
      </w:pPr>
      <w:r w:rsidRPr="00D46F82">
        <w:rPr>
          <w:sz w:val="24"/>
          <w:szCs w:val="24"/>
        </w:rPr>
        <w:t>Les offres techniques et financières doivent être remises à travers le système des achats publics en ligne TUNEPS sur le site web « www.tuneps.tn » conformément aux guides de procédures établi par la Haute Instance de la Commande Publique et approuvé le 31 Août 2018.</w:t>
      </w:r>
    </w:p>
    <w:p w:rsidR="00625DE8" w:rsidRDefault="00625DE8" w:rsidP="00625DE8">
      <w:pPr>
        <w:pStyle w:val="Normal1"/>
        <w:ind w:right="112"/>
        <w:rPr>
          <w:sz w:val="24"/>
          <w:szCs w:val="24"/>
        </w:rPr>
      </w:pPr>
      <w:r w:rsidRPr="00D82610">
        <w:rPr>
          <w:b/>
          <w:bCs/>
          <w:sz w:val="24"/>
          <w:szCs w:val="24"/>
        </w:rPr>
        <w:t>Seuls l’originale de la caution provisoire et de l’extrait du registre national des entreprises et copie certifiée conforme à l’originale de l'agrément de l’entreprise</w:t>
      </w:r>
      <w:r w:rsidRPr="005D7E65">
        <w:rPr>
          <w:sz w:val="24"/>
          <w:szCs w:val="24"/>
        </w:rPr>
        <w:t xml:space="preserve"> </w:t>
      </w:r>
      <w:r w:rsidRPr="00D46F82">
        <w:rPr>
          <w:sz w:val="24"/>
          <w:szCs w:val="24"/>
        </w:rPr>
        <w:t xml:space="preserve">doivent être placés dans une </w:t>
      </w:r>
    </w:p>
    <w:p w:rsidR="00625DE8" w:rsidRPr="00DF2A88" w:rsidRDefault="00625DE8" w:rsidP="00625DE8">
      <w:pPr>
        <w:pStyle w:val="Normal1"/>
        <w:ind w:right="112"/>
        <w:jc w:val="center"/>
        <w:rPr>
          <w:b/>
          <w:bCs/>
        </w:rPr>
      </w:pPr>
      <w:r w:rsidRPr="00DF2A88">
        <w:rPr>
          <w:b/>
          <w:bCs/>
        </w:rPr>
        <w:t>(suite avis d’AON°08/2022)</w:t>
      </w:r>
    </w:p>
    <w:p w:rsidR="00625DE8" w:rsidRDefault="00625DE8" w:rsidP="00625DE8">
      <w:pPr>
        <w:pStyle w:val="Normal1"/>
        <w:ind w:right="112"/>
        <w:rPr>
          <w:sz w:val="24"/>
          <w:szCs w:val="24"/>
        </w:rPr>
      </w:pPr>
    </w:p>
    <w:p w:rsidR="00625DE8" w:rsidRPr="00D46F82" w:rsidRDefault="00625DE8" w:rsidP="00625DE8">
      <w:pPr>
        <w:pStyle w:val="Normal1"/>
        <w:ind w:right="112"/>
        <w:rPr>
          <w:sz w:val="24"/>
          <w:szCs w:val="24"/>
        </w:rPr>
      </w:pPr>
      <w:r w:rsidRPr="00D46F82">
        <w:rPr>
          <w:sz w:val="24"/>
          <w:szCs w:val="24"/>
        </w:rPr>
        <w:t>enveloppe fermée appelée «Complément à l’offre » tout en indiquant la raison sociale du soumissionnaire et portant la mention« Complément à l’offre remise par TUNEPS, Appel d’Offres n°</w:t>
      </w:r>
      <w:r w:rsidRPr="00582380">
        <w:rPr>
          <w:color w:val="FF0000"/>
          <w:sz w:val="24"/>
          <w:szCs w:val="24"/>
          <w:lang w:eastAsia="en-US"/>
        </w:rPr>
        <w:t xml:space="preserve"> </w:t>
      </w:r>
      <w:r w:rsidRPr="00B21E0B">
        <w:rPr>
          <w:b/>
          <w:bCs/>
          <w:sz w:val="24"/>
          <w:szCs w:val="24"/>
        </w:rPr>
        <w:t>08/2022</w:t>
      </w:r>
      <w:r w:rsidRPr="00B21E0B">
        <w:rPr>
          <w:sz w:val="24"/>
          <w:szCs w:val="24"/>
        </w:rPr>
        <w:t xml:space="preserve"> relatif aux « </w:t>
      </w:r>
      <w:r w:rsidRPr="004A4381">
        <w:rPr>
          <w:b/>
          <w:bCs/>
          <w:sz w:val="24"/>
          <w:szCs w:val="24"/>
        </w:rPr>
        <w:t>travaux d’Assainissement en eaux usées des localités Erriadh, Méllita et Sidi Mehrez à la ville de Djerba Houmet Essouk</w:t>
      </w:r>
      <w:r w:rsidRPr="00D46F82">
        <w:rPr>
          <w:b/>
          <w:bCs/>
          <w:sz w:val="24"/>
          <w:szCs w:val="24"/>
        </w:rPr>
        <w:t>,</w:t>
      </w:r>
      <w:r w:rsidRPr="00D46F82">
        <w:rPr>
          <w:sz w:val="24"/>
          <w:szCs w:val="24"/>
        </w:rPr>
        <w:t xml:space="preserve"> à ne pas ouvrir» et à envoyer par, voie postale recommandée ou par rapide poste ou remise directement au Bureau d'Ordre Central de l'ONAS contre un accusé de réception, au nom du :Monsieur le président Directeur Général de l’Office National de l’Assainissement sis au 32 rue Hédi Nouira 1001 Tunis République ,</w:t>
      </w:r>
      <w:r w:rsidRPr="00C64ACD">
        <w:rPr>
          <w:sz w:val="24"/>
          <w:szCs w:val="24"/>
        </w:rPr>
        <w:t xml:space="preserve"> </w:t>
      </w:r>
      <w:r w:rsidRPr="00D46F82">
        <w:rPr>
          <w:sz w:val="24"/>
          <w:szCs w:val="24"/>
        </w:rPr>
        <w:t>à la d</w:t>
      </w:r>
      <w:r>
        <w:rPr>
          <w:sz w:val="24"/>
          <w:szCs w:val="24"/>
        </w:rPr>
        <w:t>ate limite de remise des offres</w:t>
      </w:r>
      <w:r w:rsidRPr="00D46F82">
        <w:rPr>
          <w:sz w:val="24"/>
          <w:szCs w:val="24"/>
        </w:rPr>
        <w:t>. Le cachet du Bureau d’Ordre Central fait foi.</w:t>
      </w:r>
    </w:p>
    <w:p w:rsidR="00625DE8" w:rsidRDefault="00625DE8" w:rsidP="00625DE8">
      <w:pPr>
        <w:spacing w:line="276" w:lineRule="auto"/>
        <w:ind w:right="112"/>
        <w:jc w:val="both"/>
        <w:rPr>
          <w:b/>
          <w:bCs/>
          <w:sz w:val="24"/>
          <w:szCs w:val="24"/>
        </w:rPr>
      </w:pPr>
      <w:r w:rsidRPr="00D46F82">
        <w:rPr>
          <w:sz w:val="24"/>
          <w:szCs w:val="24"/>
        </w:rPr>
        <w:t xml:space="preserve"> Le montant du cautionnement provisoire ou de la caution bancaire qui le remplace est de : </w:t>
      </w:r>
      <w:r w:rsidRPr="00D46F82">
        <w:rPr>
          <w:b/>
          <w:bCs/>
          <w:sz w:val="24"/>
          <w:szCs w:val="24"/>
        </w:rPr>
        <w:t>cinq</w:t>
      </w:r>
      <w:r>
        <w:rPr>
          <w:b/>
          <w:bCs/>
          <w:sz w:val="24"/>
          <w:szCs w:val="24"/>
        </w:rPr>
        <w:t>uante mille dinars (50.</w:t>
      </w:r>
      <w:r w:rsidRPr="00D46F82">
        <w:rPr>
          <w:b/>
          <w:bCs/>
          <w:sz w:val="24"/>
          <w:szCs w:val="24"/>
        </w:rPr>
        <w:t xml:space="preserve">000 DT) </w:t>
      </w:r>
    </w:p>
    <w:p w:rsidR="00625DE8" w:rsidRPr="003A5D86" w:rsidRDefault="00625DE8" w:rsidP="00625DE8">
      <w:pPr>
        <w:spacing w:line="276" w:lineRule="auto"/>
        <w:ind w:right="112"/>
        <w:jc w:val="both"/>
        <w:rPr>
          <w:sz w:val="16"/>
          <w:szCs w:val="16"/>
        </w:rPr>
      </w:pPr>
    </w:p>
    <w:p w:rsidR="00625DE8" w:rsidRPr="002B2E90" w:rsidRDefault="00625DE8" w:rsidP="00625DE8">
      <w:pPr>
        <w:tabs>
          <w:tab w:val="left" w:pos="9639"/>
        </w:tabs>
        <w:spacing w:line="276" w:lineRule="auto"/>
        <w:ind w:right="112"/>
        <w:jc w:val="both"/>
        <w:rPr>
          <w:b/>
          <w:bCs/>
          <w:sz w:val="24"/>
          <w:szCs w:val="24"/>
        </w:rPr>
      </w:pPr>
      <w:r w:rsidRPr="002B2E90">
        <w:rPr>
          <w:sz w:val="24"/>
          <w:szCs w:val="24"/>
        </w:rPr>
        <w:t xml:space="preserve">* La date limite de réception des offres est fixée au : </w:t>
      </w:r>
      <w:r w:rsidRPr="002B2E90">
        <w:rPr>
          <w:b/>
          <w:bCs/>
          <w:sz w:val="24"/>
          <w:szCs w:val="24"/>
        </w:rPr>
        <w:t>12 / 05 / 2022 à 11H00.</w:t>
      </w:r>
    </w:p>
    <w:p w:rsidR="00625DE8" w:rsidRPr="002B2E90" w:rsidRDefault="00625DE8" w:rsidP="00625DE8">
      <w:pPr>
        <w:tabs>
          <w:tab w:val="left" w:pos="9639"/>
        </w:tabs>
        <w:spacing w:line="276" w:lineRule="auto"/>
        <w:ind w:right="112"/>
        <w:jc w:val="both"/>
        <w:rPr>
          <w:sz w:val="24"/>
          <w:szCs w:val="24"/>
        </w:rPr>
      </w:pPr>
      <w:r w:rsidRPr="002B2E90">
        <w:rPr>
          <w:b/>
          <w:bCs/>
          <w:sz w:val="24"/>
          <w:szCs w:val="24"/>
        </w:rPr>
        <w:t>La procédure en ligne sera close et aucune offre ne pourra être acceptée</w:t>
      </w:r>
      <w:r w:rsidRPr="002B2E90">
        <w:rPr>
          <w:sz w:val="24"/>
          <w:szCs w:val="24"/>
        </w:rPr>
        <w:t xml:space="preserve"> </w:t>
      </w:r>
    </w:p>
    <w:p w:rsidR="00625DE8" w:rsidRPr="003A5D86" w:rsidRDefault="00625DE8" w:rsidP="00625DE8">
      <w:pPr>
        <w:tabs>
          <w:tab w:val="left" w:pos="9639"/>
        </w:tabs>
        <w:ind w:right="112"/>
        <w:jc w:val="both"/>
        <w:rPr>
          <w:color w:val="FF0000"/>
          <w:sz w:val="16"/>
          <w:szCs w:val="16"/>
        </w:rPr>
      </w:pPr>
    </w:p>
    <w:p w:rsidR="00625DE8" w:rsidRPr="002B2E90" w:rsidRDefault="00625DE8" w:rsidP="00625DE8">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112"/>
        <w:jc w:val="both"/>
        <w:rPr>
          <w:b/>
          <w:bCs/>
          <w:sz w:val="24"/>
          <w:szCs w:val="24"/>
        </w:rPr>
      </w:pPr>
      <w:r w:rsidRPr="002B2E90">
        <w:rPr>
          <w:b/>
          <w:bCs/>
          <w:sz w:val="24"/>
          <w:szCs w:val="24"/>
        </w:rPr>
        <w:t>* Toute offre et tout « complément à l’offre» parvenus après cette date sera rejetée.</w:t>
      </w:r>
    </w:p>
    <w:p w:rsidR="00625DE8" w:rsidRPr="002B2E90" w:rsidRDefault="00625DE8" w:rsidP="00625DE8">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112"/>
        <w:jc w:val="both"/>
        <w:rPr>
          <w:b/>
          <w:bCs/>
          <w:sz w:val="24"/>
          <w:szCs w:val="24"/>
        </w:rPr>
      </w:pPr>
      <w:r w:rsidRPr="002B2E90">
        <w:rPr>
          <w:b/>
          <w:bCs/>
          <w:sz w:val="24"/>
          <w:szCs w:val="24"/>
        </w:rPr>
        <w:t>* Tout « complément à l’offre » ne comportant pas le cautionnement provisoire ou la caution bancaire qui le remplace entraîne le rejet automatique de l’offre.</w:t>
      </w:r>
    </w:p>
    <w:p w:rsidR="00625DE8" w:rsidRPr="00F95B03" w:rsidRDefault="00625DE8" w:rsidP="00625DE8">
      <w:pPr>
        <w:ind w:right="112"/>
        <w:jc w:val="both"/>
        <w:rPr>
          <w:color w:val="FF0000"/>
          <w:sz w:val="12"/>
          <w:szCs w:val="12"/>
        </w:rPr>
      </w:pPr>
    </w:p>
    <w:p w:rsidR="00625DE8" w:rsidRPr="0022418B" w:rsidRDefault="00625DE8" w:rsidP="00625DE8">
      <w:pPr>
        <w:spacing w:line="276" w:lineRule="auto"/>
        <w:ind w:right="112"/>
        <w:jc w:val="both"/>
        <w:rPr>
          <w:sz w:val="24"/>
          <w:szCs w:val="24"/>
        </w:rPr>
      </w:pPr>
      <w:r w:rsidRPr="0022418B">
        <w:rPr>
          <w:sz w:val="24"/>
          <w:szCs w:val="24"/>
        </w:rPr>
        <w:t xml:space="preserve">Le délai pendant lequel les soumissionnaires resteront engagés par leurs offres est de </w:t>
      </w:r>
      <w:r w:rsidRPr="0022418B">
        <w:rPr>
          <w:b/>
          <w:bCs/>
          <w:sz w:val="24"/>
          <w:szCs w:val="24"/>
          <w:lang w:eastAsia="en-US"/>
        </w:rPr>
        <w:t>120</w:t>
      </w:r>
      <w:r w:rsidRPr="0022418B">
        <w:rPr>
          <w:b/>
          <w:bCs/>
          <w:sz w:val="24"/>
          <w:szCs w:val="24"/>
        </w:rPr>
        <w:t xml:space="preserve"> jours</w:t>
      </w:r>
      <w:r w:rsidRPr="0022418B">
        <w:rPr>
          <w:sz w:val="24"/>
          <w:szCs w:val="24"/>
        </w:rPr>
        <w:t xml:space="preserve"> à compter du lendemain de la date limite de la réception des offres.</w:t>
      </w:r>
    </w:p>
    <w:p w:rsidR="00625DE8" w:rsidRPr="00905623" w:rsidRDefault="00625DE8" w:rsidP="00625DE8">
      <w:pPr>
        <w:ind w:right="112"/>
        <w:jc w:val="both"/>
        <w:rPr>
          <w:color w:val="FF0000"/>
          <w:sz w:val="16"/>
          <w:szCs w:val="16"/>
        </w:rPr>
      </w:pPr>
    </w:p>
    <w:p w:rsidR="00625DE8" w:rsidRPr="00387BA0" w:rsidRDefault="00625DE8" w:rsidP="00625DE8">
      <w:pPr>
        <w:ind w:right="112"/>
        <w:jc w:val="both"/>
        <w:rPr>
          <w:sz w:val="24"/>
          <w:szCs w:val="24"/>
        </w:rPr>
      </w:pPr>
      <w:r w:rsidRPr="00387BA0">
        <w:rPr>
          <w:sz w:val="24"/>
          <w:szCs w:val="24"/>
        </w:rPr>
        <w:t xml:space="preserve">La séance d’ouverture des plis des offres techniques et financières sera en une seule séance </w:t>
      </w:r>
      <w:r w:rsidRPr="00387BA0">
        <w:rPr>
          <w:b/>
          <w:bCs/>
          <w:sz w:val="24"/>
          <w:szCs w:val="24"/>
        </w:rPr>
        <w:t xml:space="preserve">publique et en ligne le 12 / 05 / 2022 à 11H15 </w:t>
      </w:r>
      <w:r w:rsidRPr="00387BA0">
        <w:rPr>
          <w:sz w:val="24"/>
          <w:szCs w:val="24"/>
        </w:rPr>
        <w:t>à la salle d’ouverture des plis au siège social de l’ONAS sis à 32 rue Hédi Nouira 1001 Tunis République. Les représentants des soumissionnaires doivent être munis des procurations dûment signées.</w:t>
      </w:r>
      <w:r w:rsidRPr="00387BA0">
        <w:rPr>
          <w:sz w:val="24"/>
          <w:szCs w:val="24"/>
        </w:rPr>
        <w:cr/>
      </w:r>
    </w:p>
    <w:p w:rsidR="00625DE8" w:rsidRPr="005A7892" w:rsidRDefault="00625DE8" w:rsidP="00625DE8">
      <w:pPr>
        <w:pStyle w:val="Corpsdetexte2"/>
        <w:bidi w:val="0"/>
        <w:ind w:right="112"/>
      </w:pPr>
      <w:r w:rsidRPr="005A7892">
        <w:t xml:space="preserve">Pour de plus amples renseignements sur la procédure d’inscription et d’utilisation du système TUNEPS, les soumissionnaires peuvent contacter le centre d’appel de l’unité d’achats publics en ligne à la haute instance de la commande publique Aux numéros de téléphone tél 71566364/ 70130340 et le mail : </w:t>
      </w:r>
      <w:hyperlink r:id="rId6" w:history="1">
        <w:r w:rsidRPr="005A7892">
          <w:rPr>
            <w:rStyle w:val="Lienhypertexte"/>
          </w:rPr>
          <w:t>tuneps@pm.gov.tn</w:t>
        </w:r>
      </w:hyperlink>
    </w:p>
    <w:p w:rsidR="00625DE8" w:rsidRPr="00582380" w:rsidRDefault="00625DE8" w:rsidP="00625DE8">
      <w:pPr>
        <w:pStyle w:val="Corpsdetexte2"/>
        <w:bidi w:val="0"/>
        <w:spacing w:line="276" w:lineRule="auto"/>
        <w:ind w:right="-30"/>
        <w:rPr>
          <w:color w:val="FF0000"/>
          <w:sz w:val="20"/>
          <w:szCs w:val="20"/>
        </w:rPr>
      </w:pPr>
    </w:p>
    <w:p w:rsidR="00625DE8" w:rsidRPr="00582380" w:rsidRDefault="00625DE8" w:rsidP="00625DE8">
      <w:pPr>
        <w:pStyle w:val="Corpsdetexte2"/>
        <w:bidi w:val="0"/>
        <w:ind w:right="-30"/>
        <w:rPr>
          <w:color w:val="FF0000"/>
          <w:sz w:val="20"/>
          <w:szCs w:val="20"/>
        </w:rPr>
      </w:pPr>
    </w:p>
    <w:p w:rsidR="00625DE8" w:rsidRDefault="00625DE8" w:rsidP="00625DE8">
      <w:pPr>
        <w:pStyle w:val="Corpsdetexte2"/>
        <w:bidi w:val="0"/>
        <w:ind w:right="-30"/>
        <w:rPr>
          <w:color w:val="FF0000"/>
          <w:sz w:val="20"/>
          <w:szCs w:val="20"/>
        </w:rPr>
      </w:pPr>
    </w:p>
    <w:p w:rsidR="00625DE8" w:rsidRPr="00041BBB" w:rsidRDefault="00625DE8" w:rsidP="00625DE8"/>
    <w:p w:rsidR="00625DE8" w:rsidRPr="00041BBB" w:rsidRDefault="00625DE8" w:rsidP="00625DE8"/>
    <w:p w:rsidR="00625DE8" w:rsidRDefault="00625DE8" w:rsidP="00625DE8">
      <w:pPr>
        <w:pStyle w:val="Corpsdetexte2"/>
        <w:bidi w:val="0"/>
        <w:ind w:right="-30"/>
      </w:pPr>
    </w:p>
    <w:p w:rsidR="00625DE8" w:rsidRPr="00F87D21" w:rsidRDefault="00625DE8" w:rsidP="00671D22">
      <w:pPr>
        <w:pStyle w:val="Corpsdetexte2"/>
        <w:bidi w:val="0"/>
        <w:ind w:right="-30"/>
        <w:rPr>
          <w:sz w:val="6"/>
          <w:szCs w:val="6"/>
        </w:rPr>
      </w:pPr>
      <w:bookmarkStart w:id="1" w:name="_GoBack"/>
      <w:bookmarkEnd w:id="1"/>
    </w:p>
    <w:sectPr w:rsidR="00625DE8" w:rsidRPr="00F87D21" w:rsidSect="00872A70">
      <w:pgSz w:w="11907" w:h="16840"/>
      <w:pgMar w:top="567" w:right="851" w:bottom="426" w:left="102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22114"/>
    <w:multiLevelType w:val="hybridMultilevel"/>
    <w:tmpl w:val="B9F8DE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CAC72DF"/>
    <w:multiLevelType w:val="hybridMultilevel"/>
    <w:tmpl w:val="2B6298D2"/>
    <w:lvl w:ilvl="0" w:tplc="13AAE334">
      <w:start w:val="1"/>
      <w:numFmt w:val="decimal"/>
      <w:lvlText w:val="%1."/>
      <w:lvlJc w:val="left"/>
      <w:pPr>
        <w:tabs>
          <w:tab w:val="num" w:pos="435"/>
        </w:tabs>
        <w:ind w:left="435" w:hanging="360"/>
      </w:pPr>
      <w:rPr>
        <w:rFonts w:cs="Andalus"/>
        <w:b/>
        <w:bCs/>
        <w:sz w:val="28"/>
        <w:szCs w:val="28"/>
      </w:rPr>
    </w:lvl>
    <w:lvl w:ilvl="1" w:tplc="5E7ACE08">
      <w:numFmt w:val="bullet"/>
      <w:lvlText w:val="-"/>
      <w:lvlJc w:val="left"/>
      <w:pPr>
        <w:tabs>
          <w:tab w:val="num" w:pos="1155"/>
        </w:tabs>
        <w:ind w:left="1155" w:hanging="360"/>
      </w:pPr>
      <w:rPr>
        <w:rFonts w:ascii="Times New Roman" w:eastAsia="Times New Roman" w:hAnsi="Times New Roman" w:cs="Times New Roman" w:hint="default"/>
        <w:b/>
        <w:bCs/>
        <w:sz w:val="28"/>
        <w:szCs w:val="28"/>
      </w:rPr>
    </w:lvl>
    <w:lvl w:ilvl="2" w:tplc="0409001B">
      <w:start w:val="1"/>
      <w:numFmt w:val="lowerRoman"/>
      <w:lvlText w:val="%3."/>
      <w:lvlJc w:val="right"/>
      <w:pPr>
        <w:tabs>
          <w:tab w:val="num" w:pos="1875"/>
        </w:tabs>
        <w:ind w:left="1875" w:hanging="180"/>
      </w:pPr>
    </w:lvl>
    <w:lvl w:ilvl="3" w:tplc="0409000F">
      <w:start w:val="1"/>
      <w:numFmt w:val="decimal"/>
      <w:lvlText w:val="%4."/>
      <w:lvlJc w:val="left"/>
      <w:pPr>
        <w:tabs>
          <w:tab w:val="num" w:pos="2595"/>
        </w:tabs>
        <w:ind w:left="2595" w:hanging="360"/>
      </w:pPr>
      <w:rPr>
        <w:b/>
        <w:bCs/>
        <w:sz w:val="28"/>
        <w:szCs w:val="28"/>
      </w:r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 w15:restartNumberingAfterBreak="0">
    <w:nsid w:val="513A71D4"/>
    <w:multiLevelType w:val="hybridMultilevel"/>
    <w:tmpl w:val="32D47434"/>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1C"/>
    <w:rsid w:val="004823AD"/>
    <w:rsid w:val="00625DE8"/>
    <w:rsid w:val="00671D22"/>
    <w:rsid w:val="007E5C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3B800-3042-48CA-A658-5BFD7D0B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DE8"/>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625DE8"/>
    <w:pPr>
      <w:keepNext/>
      <w:jc w:val="center"/>
      <w:outlineLvl w:val="1"/>
    </w:pPr>
    <w:rPr>
      <w:b/>
      <w:i/>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25DE8"/>
    <w:rPr>
      <w:rFonts w:ascii="Times New Roman" w:eastAsia="Times New Roman" w:hAnsi="Times New Roman" w:cs="Times New Roman"/>
      <w:b/>
      <w:i/>
      <w:iCs/>
      <w:sz w:val="28"/>
      <w:szCs w:val="20"/>
      <w:lang w:eastAsia="fr-FR"/>
    </w:rPr>
  </w:style>
  <w:style w:type="paragraph" w:styleId="Corpsdetexte">
    <w:name w:val="Body Text"/>
    <w:basedOn w:val="Normal"/>
    <w:link w:val="CorpsdetexteCar"/>
    <w:rsid w:val="00625DE8"/>
    <w:pPr>
      <w:jc w:val="both"/>
    </w:pPr>
    <w:rPr>
      <w:sz w:val="22"/>
      <w:szCs w:val="22"/>
    </w:rPr>
  </w:style>
  <w:style w:type="character" w:customStyle="1" w:styleId="CorpsdetexteCar">
    <w:name w:val="Corps de texte Car"/>
    <w:basedOn w:val="Policepardfaut"/>
    <w:link w:val="Corpsdetexte"/>
    <w:rsid w:val="00625DE8"/>
    <w:rPr>
      <w:rFonts w:ascii="Times New Roman" w:eastAsia="Times New Roman" w:hAnsi="Times New Roman" w:cs="Times New Roman"/>
      <w:lang w:eastAsia="fr-FR"/>
    </w:rPr>
  </w:style>
  <w:style w:type="paragraph" w:styleId="Titre">
    <w:name w:val="Title"/>
    <w:basedOn w:val="Normal"/>
    <w:link w:val="TitreCar"/>
    <w:qFormat/>
    <w:rsid w:val="00625DE8"/>
    <w:pPr>
      <w:jc w:val="center"/>
    </w:pPr>
    <w:rPr>
      <w:b/>
      <w:sz w:val="28"/>
    </w:rPr>
  </w:style>
  <w:style w:type="character" w:customStyle="1" w:styleId="TitreCar">
    <w:name w:val="Titre Car"/>
    <w:basedOn w:val="Policepardfaut"/>
    <w:link w:val="Titre"/>
    <w:rsid w:val="00625DE8"/>
    <w:rPr>
      <w:rFonts w:ascii="Times New Roman" w:eastAsia="Times New Roman" w:hAnsi="Times New Roman" w:cs="Times New Roman"/>
      <w:b/>
      <w:sz w:val="28"/>
      <w:szCs w:val="20"/>
      <w:lang w:eastAsia="fr-FR"/>
    </w:rPr>
  </w:style>
  <w:style w:type="paragraph" w:styleId="Corpsdetexte2">
    <w:name w:val="Body Text 2"/>
    <w:basedOn w:val="Normal"/>
    <w:link w:val="Corpsdetexte2Car"/>
    <w:rsid w:val="00625DE8"/>
    <w:pPr>
      <w:bidi/>
      <w:jc w:val="both"/>
    </w:pPr>
    <w:rPr>
      <w:b/>
      <w:bCs/>
      <w:sz w:val="24"/>
      <w:szCs w:val="24"/>
    </w:rPr>
  </w:style>
  <w:style w:type="character" w:customStyle="1" w:styleId="Corpsdetexte2Car">
    <w:name w:val="Corps de texte 2 Car"/>
    <w:basedOn w:val="Policepardfaut"/>
    <w:link w:val="Corpsdetexte2"/>
    <w:rsid w:val="00625DE8"/>
    <w:rPr>
      <w:rFonts w:ascii="Times New Roman" w:eastAsia="Times New Roman" w:hAnsi="Times New Roman" w:cs="Times New Roman"/>
      <w:b/>
      <w:bCs/>
      <w:sz w:val="24"/>
      <w:szCs w:val="24"/>
      <w:lang w:eastAsia="fr-FR"/>
    </w:rPr>
  </w:style>
  <w:style w:type="paragraph" w:customStyle="1" w:styleId="Normal1">
    <w:name w:val="Normal1"/>
    <w:basedOn w:val="Normal"/>
    <w:rsid w:val="00625DE8"/>
    <w:pPr>
      <w:widowControl w:val="0"/>
      <w:autoSpaceDE w:val="0"/>
      <w:autoSpaceDN w:val="0"/>
      <w:spacing w:line="360" w:lineRule="auto"/>
      <w:jc w:val="both"/>
    </w:pPr>
    <w:rPr>
      <w:sz w:val="22"/>
      <w:szCs w:val="22"/>
    </w:rPr>
  </w:style>
  <w:style w:type="character" w:styleId="Lienhypertexte">
    <w:name w:val="Hyperlink"/>
    <w:rsid w:val="00625DE8"/>
    <w:rPr>
      <w:color w:val="0000FF"/>
      <w:u w:val="single"/>
    </w:rPr>
  </w:style>
  <w:style w:type="character" w:styleId="lev">
    <w:name w:val="Strong"/>
    <w:qFormat/>
    <w:rsid w:val="00625DE8"/>
    <w:rPr>
      <w:b/>
      <w:bCs/>
    </w:rPr>
  </w:style>
  <w:style w:type="paragraph" w:styleId="Retraitcorpsdetexte3">
    <w:name w:val="Body Text Indent 3"/>
    <w:basedOn w:val="Normal"/>
    <w:link w:val="Retraitcorpsdetexte3Car"/>
    <w:rsid w:val="00625DE8"/>
    <w:pPr>
      <w:spacing w:after="120"/>
      <w:ind w:left="283"/>
    </w:pPr>
    <w:rPr>
      <w:sz w:val="16"/>
      <w:szCs w:val="16"/>
    </w:rPr>
  </w:style>
  <w:style w:type="character" w:customStyle="1" w:styleId="Retraitcorpsdetexte3Car">
    <w:name w:val="Retrait corps de texte 3 Car"/>
    <w:basedOn w:val="Policepardfaut"/>
    <w:link w:val="Retraitcorpsdetexte3"/>
    <w:rsid w:val="00625DE8"/>
    <w:rPr>
      <w:rFonts w:ascii="Times New Roman" w:eastAsia="Times New Roman" w:hAnsi="Times New Roman"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neps@pm.gov.t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4371</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SKANJI ZEINEB</dc:creator>
  <cp:keywords/>
  <dc:description/>
  <cp:lastModifiedBy>SKANJI ZEINEB</cp:lastModifiedBy>
  <cp:revision>3</cp:revision>
  <dcterms:created xsi:type="dcterms:W3CDTF">2022-04-06T13:09:00Z</dcterms:created>
  <dcterms:modified xsi:type="dcterms:W3CDTF">2022-04-06T13:10:00Z</dcterms:modified>
</cp:coreProperties>
</file>