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DC0" w14:textId="5701CC0C" w:rsidR="00AB74D7" w:rsidRDefault="00AB74D7" w:rsidP="00AB74D7">
      <w:pPr>
        <w:jc w:val="center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وزارة النقل </w:t>
      </w:r>
    </w:p>
    <w:p w14:paraId="3BC59916" w14:textId="6C333EA4" w:rsidR="00AB74D7" w:rsidRDefault="00AB74D7" w:rsidP="00A2718E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إعلان </w:t>
      </w:r>
      <w:r w:rsidR="00241539">
        <w:rPr>
          <w:rFonts w:hint="cs"/>
          <w:b/>
          <w:bCs/>
          <w:sz w:val="32"/>
          <w:szCs w:val="32"/>
          <w:rtl/>
          <w:lang w:bidi="ar-TN"/>
        </w:rPr>
        <w:t>استشارة عدد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D32FDD">
        <w:rPr>
          <w:rFonts w:hint="cs"/>
          <w:b/>
          <w:bCs/>
          <w:sz w:val="32"/>
          <w:szCs w:val="32"/>
          <w:rtl/>
          <w:lang w:bidi="ar-TN"/>
        </w:rPr>
        <w:t>15</w:t>
      </w:r>
      <w:r>
        <w:rPr>
          <w:rFonts w:hint="cs"/>
          <w:b/>
          <w:bCs/>
          <w:sz w:val="32"/>
          <w:szCs w:val="32"/>
          <w:rtl/>
          <w:lang w:bidi="ar-TN"/>
        </w:rPr>
        <w:t>/</w:t>
      </w:r>
      <w:r w:rsidR="00FA4254">
        <w:rPr>
          <w:b/>
          <w:bCs/>
          <w:sz w:val="32"/>
          <w:szCs w:val="32"/>
          <w:lang w:bidi="ar-TN"/>
        </w:rPr>
        <w:t>2022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14:paraId="268EAC86" w14:textId="196804EA" w:rsidR="00AB74D7" w:rsidRDefault="00AC57A9" w:rsidP="00AB74D7">
      <w:pPr>
        <w:jc w:val="center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للمرة الثانية</w:t>
      </w:r>
    </w:p>
    <w:p w14:paraId="4A7D47C0" w14:textId="77777777" w:rsidR="00AB74D7" w:rsidRDefault="00AB74D7" w:rsidP="00AB74D7">
      <w:pPr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>لاقتناء أزياء شغل</w:t>
      </w:r>
    </w:p>
    <w:p w14:paraId="43367DFF" w14:textId="77777777" w:rsidR="00AB74D7" w:rsidRDefault="00AB74D7" w:rsidP="00AB74D7">
      <w:pPr>
        <w:jc w:val="center"/>
        <w:rPr>
          <w:b/>
          <w:bCs/>
          <w:sz w:val="36"/>
          <w:szCs w:val="36"/>
          <w:rtl/>
          <w:lang w:bidi="ar-TN"/>
        </w:rPr>
      </w:pPr>
    </w:p>
    <w:p w14:paraId="1C8C7309" w14:textId="6BE491BA" w:rsidR="00AB74D7" w:rsidRDefault="00AB74D7" w:rsidP="00AB74D7">
      <w:pPr>
        <w:ind w:hanging="2"/>
        <w:jc w:val="both"/>
        <w:rPr>
          <w:rFonts w:cs="Simplified Arabic"/>
          <w:sz w:val="28"/>
          <w:szCs w:val="28"/>
          <w:lang w:eastAsia="ar-TN" w:bidi="ar-TN"/>
        </w:rPr>
      </w:pPr>
      <w:r>
        <w:rPr>
          <w:rFonts w:cs="Simplified Arabic"/>
          <w:sz w:val="28"/>
          <w:szCs w:val="28"/>
          <w:rtl/>
          <w:lang w:eastAsia="ar-TN" w:bidi="ar-TN"/>
        </w:rPr>
        <w:t xml:space="preserve">تعتزم وزارة </w:t>
      </w:r>
      <w:r w:rsidR="00AC57A9">
        <w:rPr>
          <w:rFonts w:cs="Simplified Arabic" w:hint="cs"/>
          <w:sz w:val="28"/>
          <w:szCs w:val="28"/>
          <w:rtl/>
          <w:lang w:eastAsia="ar-TN" w:bidi="ar-TN"/>
        </w:rPr>
        <w:t>النقل،</w:t>
      </w:r>
      <w:r>
        <w:rPr>
          <w:rFonts w:cs="Simplified Arabic"/>
          <w:sz w:val="28"/>
          <w:szCs w:val="28"/>
          <w:rtl/>
          <w:lang w:eastAsia="ar-TN" w:bidi="ar-TN"/>
        </w:rPr>
        <w:t xml:space="preserve"> إعلان </w:t>
      </w:r>
      <w:r>
        <w:rPr>
          <w:rFonts w:cs="Simplified Arabic" w:hint="cs"/>
          <w:sz w:val="28"/>
          <w:szCs w:val="28"/>
          <w:rtl/>
          <w:lang w:eastAsia="ar-TN" w:bidi="ar-TN"/>
        </w:rPr>
        <w:t>استشارة</w:t>
      </w:r>
      <w:r>
        <w:rPr>
          <w:rFonts w:cs="Simplified Arabic"/>
          <w:sz w:val="28"/>
          <w:szCs w:val="28"/>
          <w:rtl/>
          <w:lang w:eastAsia="ar-TN" w:bidi="ar-TN"/>
        </w:rPr>
        <w:t xml:space="preserve"> </w:t>
      </w:r>
      <w:r w:rsidR="00AC57A9">
        <w:rPr>
          <w:rFonts w:cs="Simplified Arabic" w:hint="cs"/>
          <w:sz w:val="28"/>
          <w:szCs w:val="28"/>
          <w:rtl/>
          <w:lang w:eastAsia="ar-TN" w:bidi="ar-TN"/>
        </w:rPr>
        <w:t xml:space="preserve">للمرة الثانية </w:t>
      </w:r>
      <w:r>
        <w:rPr>
          <w:rFonts w:cs="Simplified Arabic"/>
          <w:sz w:val="28"/>
          <w:szCs w:val="28"/>
          <w:rtl/>
          <w:lang w:eastAsia="ar-TN" w:bidi="ar-TN"/>
        </w:rPr>
        <w:t xml:space="preserve">لاقتناء أزياء شغل بعنوان سنة </w:t>
      </w:r>
      <w:r w:rsidR="00FA4254">
        <w:rPr>
          <w:rFonts w:cs="Simplified Arabic" w:hint="cs"/>
          <w:sz w:val="28"/>
          <w:szCs w:val="28"/>
          <w:rtl/>
          <w:lang w:eastAsia="ar-TN" w:bidi="ar-TN"/>
        </w:rPr>
        <w:t>2022</w:t>
      </w:r>
      <w:r>
        <w:rPr>
          <w:rFonts w:cs="Simplified Arabic"/>
          <w:sz w:val="28"/>
          <w:szCs w:val="28"/>
          <w:rtl/>
          <w:lang w:eastAsia="ar-TN" w:bidi="ar-TN"/>
        </w:rPr>
        <w:t xml:space="preserve"> لفائدة أعوانها كما </w:t>
      </w:r>
      <w:r w:rsidR="00756380">
        <w:rPr>
          <w:rFonts w:cs="Simplified Arabic" w:hint="cs"/>
          <w:sz w:val="28"/>
          <w:szCs w:val="28"/>
          <w:rtl/>
          <w:lang w:eastAsia="ar-TN" w:bidi="ar-TN"/>
        </w:rPr>
        <w:t>يلي:</w:t>
      </w:r>
      <w:r>
        <w:rPr>
          <w:rFonts w:cs="Simplified Arabic"/>
          <w:sz w:val="28"/>
          <w:szCs w:val="28"/>
          <w:rtl/>
          <w:lang w:eastAsia="ar-TN" w:bidi="ar-TN"/>
        </w:rPr>
        <w:t xml:space="preserve"> </w:t>
      </w:r>
    </w:p>
    <w:p w14:paraId="5325DA1D" w14:textId="77777777" w:rsidR="00756380" w:rsidRDefault="00756380" w:rsidP="00AB74D7">
      <w:pPr>
        <w:ind w:hanging="2"/>
        <w:jc w:val="both"/>
        <w:rPr>
          <w:rFonts w:cs="Simplified Arabic"/>
          <w:sz w:val="28"/>
          <w:szCs w:val="28"/>
          <w:rtl/>
          <w:lang w:eastAsia="ar-TN" w:bidi="ar-TN"/>
        </w:rPr>
      </w:pPr>
    </w:p>
    <w:tbl>
      <w:tblPr>
        <w:tblStyle w:val="Grilledutableau"/>
        <w:bidiVisual/>
        <w:tblW w:w="9058" w:type="dxa"/>
        <w:tblLook w:val="04A0" w:firstRow="1" w:lastRow="0" w:firstColumn="1" w:lastColumn="0" w:noHBand="0" w:noVBand="1"/>
      </w:tblPr>
      <w:tblGrid>
        <w:gridCol w:w="1381"/>
        <w:gridCol w:w="4126"/>
        <w:gridCol w:w="3551"/>
      </w:tblGrid>
      <w:tr w:rsidR="00AB74D7" w14:paraId="2D3548BD" w14:textId="77777777" w:rsidTr="00AC57A9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6D10" w14:textId="77777777" w:rsidR="00AB74D7" w:rsidRDefault="00AB74D7" w:rsidP="008051D6">
            <w:pPr>
              <w:jc w:val="center"/>
              <w:rPr>
                <w:rFonts w:cs="Simplified Arabic"/>
                <w:b/>
                <w:bCs/>
                <w:rtl/>
                <w:lang w:eastAsia="ar-TN" w:bidi="ar-TN"/>
              </w:rPr>
            </w:pPr>
            <w:r>
              <w:rPr>
                <w:rFonts w:cs="Simplified Arabic"/>
                <w:b/>
                <w:bCs/>
                <w:rtl/>
                <w:lang w:eastAsia="ar-TN" w:bidi="ar-TN"/>
              </w:rPr>
              <w:t>الأقساط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98B" w14:textId="77777777" w:rsidR="00AB74D7" w:rsidRDefault="00AB74D7" w:rsidP="008051D6">
            <w:pPr>
              <w:jc w:val="center"/>
              <w:rPr>
                <w:rFonts w:cs="Simplified Arabic"/>
                <w:b/>
                <w:bCs/>
                <w:rtl/>
                <w:lang w:eastAsia="ar-TN" w:bidi="ar-TN"/>
              </w:rPr>
            </w:pPr>
            <w:r>
              <w:rPr>
                <w:rFonts w:cs="Simplified Arabic"/>
                <w:b/>
                <w:bCs/>
                <w:rtl/>
                <w:lang w:eastAsia="ar-TN" w:bidi="ar-TN"/>
              </w:rPr>
              <w:t>بيان القسط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37B8" w14:textId="77777777" w:rsidR="00AB74D7" w:rsidRDefault="00AB74D7" w:rsidP="008051D6">
            <w:pPr>
              <w:jc w:val="center"/>
              <w:rPr>
                <w:rFonts w:cs="Simplified Arabic"/>
                <w:b/>
                <w:bCs/>
                <w:rtl/>
                <w:lang w:eastAsia="ar-TN" w:bidi="ar-TN"/>
              </w:rPr>
            </w:pPr>
            <w:r>
              <w:rPr>
                <w:rFonts w:cs="Simplified Arabic"/>
                <w:b/>
                <w:bCs/>
                <w:rtl/>
                <w:lang w:eastAsia="ar-TN" w:bidi="ar-TN"/>
              </w:rPr>
              <w:t>طبيعة المشاركة</w:t>
            </w:r>
          </w:p>
        </w:tc>
      </w:tr>
      <w:tr w:rsidR="00AB74D7" w14:paraId="0989EA2D" w14:textId="77777777" w:rsidTr="00AC57A9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4BA8" w14:textId="77777777" w:rsidR="00AB74D7" w:rsidRDefault="00AB74D7" w:rsidP="008051D6">
            <w:pPr>
              <w:jc w:val="both"/>
              <w:rPr>
                <w:rFonts w:cs="Simplified Arabic"/>
                <w:rtl/>
                <w:lang w:eastAsia="ar-TN" w:bidi="ar-TN"/>
              </w:rPr>
            </w:pPr>
            <w:r>
              <w:rPr>
                <w:rFonts w:cs="Simplified Arabic"/>
                <w:rtl/>
                <w:lang w:eastAsia="ar-TN" w:bidi="ar-TN"/>
              </w:rPr>
              <w:t>القسط الأول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536F" w14:textId="77777777" w:rsidR="00AB74D7" w:rsidRDefault="00AB74D7" w:rsidP="008051D6">
            <w:pPr>
              <w:rPr>
                <w:rFonts w:cs="Simplified Arabic"/>
                <w:rtl/>
                <w:lang w:eastAsia="ar-TN" w:bidi="ar-TN"/>
              </w:rPr>
            </w:pPr>
            <w:r>
              <w:rPr>
                <w:rFonts w:cs="Simplified Arabic"/>
                <w:rtl/>
              </w:rPr>
              <w:t>لباس الأعوان المكلفين بمعاينة مخالفات النقل البرّي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647" w14:textId="77777777" w:rsidR="00AB74D7" w:rsidRDefault="00AB74D7" w:rsidP="008051D6">
            <w:pPr>
              <w:jc w:val="both"/>
              <w:rPr>
                <w:rFonts w:cs="Simplified Arabic"/>
                <w:rtl/>
                <w:lang w:eastAsia="ar-TN" w:bidi="ar-TN"/>
              </w:rPr>
            </w:pPr>
            <w:r w:rsidRPr="00BB2D24">
              <w:rPr>
                <w:rFonts w:cs="Simplified Arabic" w:hint="cs"/>
                <w:rtl/>
              </w:rPr>
              <w:t>المُشاركة بكامل القسط</w:t>
            </w:r>
          </w:p>
        </w:tc>
      </w:tr>
      <w:tr w:rsidR="00AB74D7" w14:paraId="5B14E6FA" w14:textId="77777777" w:rsidTr="00AC57A9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85A9" w14:textId="77777777" w:rsidR="00AB74D7" w:rsidRDefault="00AB74D7" w:rsidP="008051D6">
            <w:pPr>
              <w:jc w:val="both"/>
              <w:rPr>
                <w:rFonts w:cs="Simplified Arabic"/>
                <w:rtl/>
                <w:lang w:eastAsia="ar-TN" w:bidi="ar-TN"/>
              </w:rPr>
            </w:pPr>
            <w:r>
              <w:rPr>
                <w:rFonts w:cs="Simplified Arabic"/>
                <w:rtl/>
                <w:lang w:eastAsia="ar-TN" w:bidi="ar-TN"/>
              </w:rPr>
              <w:t>القسط الثاني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588C" w14:textId="77777777" w:rsidR="00AB74D7" w:rsidRDefault="00AB74D7" w:rsidP="008051D6">
            <w:pPr>
              <w:jc w:val="both"/>
              <w:rPr>
                <w:rFonts w:cs="Simplified Arabic"/>
                <w:rtl/>
                <w:lang w:eastAsia="ar-TN" w:bidi="ar-TN"/>
              </w:rPr>
            </w:pPr>
            <w:r>
              <w:rPr>
                <w:rFonts w:cs="Simplified Arabic"/>
                <w:rtl/>
                <w:lang w:eastAsia="ar-TN" w:bidi="ar-TN"/>
              </w:rPr>
              <w:t>ملابس الأعوان المختصّين للبحريّة التّجاريّة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685" w14:textId="77777777" w:rsidR="00AB74D7" w:rsidRDefault="00AB74D7" w:rsidP="008051D6">
            <w:pPr>
              <w:jc w:val="both"/>
              <w:rPr>
                <w:rFonts w:cs="Simplified Arabic"/>
                <w:rtl/>
                <w:lang w:eastAsia="ar-TN" w:bidi="ar-TN"/>
              </w:rPr>
            </w:pPr>
            <w:r w:rsidRPr="00BB2D24">
              <w:rPr>
                <w:rFonts w:cs="Simplified Arabic" w:hint="cs"/>
                <w:rtl/>
              </w:rPr>
              <w:t>المُشاركة بكامل القسط</w:t>
            </w:r>
          </w:p>
        </w:tc>
      </w:tr>
      <w:tr w:rsidR="00AB74D7" w14:paraId="46E78E6A" w14:textId="77777777" w:rsidTr="00AC57A9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FCC8" w14:textId="77777777" w:rsidR="00AB74D7" w:rsidRDefault="00AB74D7" w:rsidP="008051D6">
            <w:pPr>
              <w:jc w:val="both"/>
              <w:rPr>
                <w:rFonts w:cs="Simplified Arabic"/>
                <w:rtl/>
                <w:lang w:eastAsia="ar-TN" w:bidi="ar-TN"/>
              </w:rPr>
            </w:pPr>
            <w:r>
              <w:rPr>
                <w:rFonts w:cs="Simplified Arabic"/>
                <w:rtl/>
                <w:lang w:eastAsia="ar-TN" w:bidi="ar-TN"/>
              </w:rPr>
              <w:t>القسط الثالث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715" w14:textId="77777777" w:rsidR="00AB74D7" w:rsidRDefault="00AB74D7" w:rsidP="008051D6">
            <w:pPr>
              <w:jc w:val="both"/>
              <w:rPr>
                <w:rFonts w:cs="Simplified Arabic"/>
                <w:rtl/>
                <w:lang w:eastAsia="ar-TN" w:bidi="ar-TN"/>
              </w:rPr>
            </w:pPr>
            <w:r>
              <w:rPr>
                <w:rFonts w:cs="Simplified Arabic"/>
                <w:rtl/>
                <w:lang w:eastAsia="ar-TN" w:bidi="ar-TN"/>
              </w:rPr>
              <w:t>أحذية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C9D" w14:textId="77777777" w:rsidR="00AB74D7" w:rsidRDefault="00AB74D7" w:rsidP="008051D6">
            <w:pPr>
              <w:jc w:val="both"/>
              <w:rPr>
                <w:rFonts w:cs="Simplified Arabic"/>
                <w:rtl/>
                <w:lang w:eastAsia="ar-TN" w:bidi="ar-TN"/>
              </w:rPr>
            </w:pPr>
            <w:r>
              <w:rPr>
                <w:rFonts w:cs="Simplified Arabic"/>
                <w:rtl/>
                <w:lang w:eastAsia="ar-TN" w:bidi="ar-TN"/>
              </w:rPr>
              <w:t xml:space="preserve">يمكن </w:t>
            </w:r>
            <w:proofErr w:type="gramStart"/>
            <w:r>
              <w:rPr>
                <w:rFonts w:cs="Simplified Arabic"/>
                <w:rtl/>
                <w:lang w:eastAsia="ar-TN" w:bidi="ar-TN"/>
              </w:rPr>
              <w:t>المشاركة  بفصل</w:t>
            </w:r>
            <w:proofErr w:type="gramEnd"/>
            <w:r>
              <w:rPr>
                <w:rFonts w:cs="Simplified Arabic"/>
                <w:rtl/>
                <w:lang w:eastAsia="ar-TN" w:bidi="ar-TN"/>
              </w:rPr>
              <w:t xml:space="preserve"> واحد أو أكثر</w:t>
            </w:r>
          </w:p>
        </w:tc>
      </w:tr>
    </w:tbl>
    <w:p w14:paraId="3C4F4802" w14:textId="77777777" w:rsidR="00AB74D7" w:rsidRPr="00056B4E" w:rsidRDefault="00AB74D7" w:rsidP="00AB74D7">
      <w:pPr>
        <w:ind w:firstLine="589"/>
        <w:jc w:val="center"/>
        <w:rPr>
          <w:rFonts w:cs="Simplified Arabic"/>
          <w:sz w:val="28"/>
          <w:szCs w:val="28"/>
          <w:lang w:val="fr-TN" w:eastAsia="ar-TN" w:bidi="ar-TN"/>
        </w:rPr>
      </w:pPr>
    </w:p>
    <w:p w14:paraId="488A43DA" w14:textId="77777777" w:rsidR="00AB74D7" w:rsidRDefault="00AB74D7" w:rsidP="00AB74D7">
      <w:pPr>
        <w:jc w:val="both"/>
        <w:rPr>
          <w:rFonts w:cs="Simplified Arabic"/>
          <w:sz w:val="28"/>
          <w:szCs w:val="28"/>
          <w:lang w:eastAsia="ar-TN" w:bidi="ar-TN"/>
        </w:rPr>
      </w:pPr>
      <w:r w:rsidRPr="002C0D80">
        <w:rPr>
          <w:rFonts w:cs="Simplified Arabic" w:hint="cs"/>
          <w:sz w:val="28"/>
          <w:szCs w:val="28"/>
          <w:rtl/>
          <w:lang w:eastAsia="ar-TN" w:bidi="ar-TN"/>
        </w:rPr>
        <w:t xml:space="preserve">فعلى الراغبين في المشاركة </w:t>
      </w:r>
      <w:r>
        <w:rPr>
          <w:rFonts w:cs="Simplified Arabic" w:hint="cs"/>
          <w:sz w:val="28"/>
          <w:szCs w:val="28"/>
          <w:rtl/>
          <w:lang w:eastAsia="ar-TN" w:bidi="ar-TN"/>
        </w:rPr>
        <w:t xml:space="preserve">من المزوّدين المسجلين بمنظومة الشراء العمومي على </w:t>
      </w:r>
      <w:proofErr w:type="gramStart"/>
      <w:r>
        <w:rPr>
          <w:rFonts w:cs="Simplified Arabic" w:hint="cs"/>
          <w:sz w:val="28"/>
          <w:szCs w:val="28"/>
          <w:rtl/>
          <w:lang w:eastAsia="ar-TN" w:bidi="ar-TN"/>
        </w:rPr>
        <w:t xml:space="preserve">الخط  </w:t>
      </w:r>
      <w:proofErr w:type="spellStart"/>
      <w:r>
        <w:rPr>
          <w:rFonts w:cs="Simplified Arabic"/>
          <w:sz w:val="28"/>
          <w:szCs w:val="28"/>
          <w:lang w:val="fr-FR" w:eastAsia="ar-TN" w:bidi="ar-TN"/>
        </w:rPr>
        <w:t>tuneps</w:t>
      </w:r>
      <w:proofErr w:type="spellEnd"/>
      <w:proofErr w:type="gramEnd"/>
      <w:r>
        <w:rPr>
          <w:rFonts w:cs="Simplified Arabic" w:hint="cs"/>
          <w:sz w:val="28"/>
          <w:szCs w:val="28"/>
          <w:rtl/>
          <w:lang w:eastAsia="ar-TN" w:bidi="ar-TN"/>
        </w:rPr>
        <w:t xml:space="preserve">  ، تحميل كراس الشروط عبر الموقع   </w:t>
      </w:r>
      <w:r>
        <w:rPr>
          <w:rFonts w:cs="Simplified Arabic"/>
          <w:sz w:val="28"/>
          <w:szCs w:val="28"/>
          <w:lang w:val="fr-FR" w:eastAsia="ar-TN" w:bidi="ar-TN"/>
        </w:rPr>
        <w:t>www.tuneps.tn</w:t>
      </w:r>
      <w:r>
        <w:rPr>
          <w:rFonts w:cs="Simplified Arabic" w:hint="cs"/>
          <w:sz w:val="28"/>
          <w:szCs w:val="28"/>
          <w:rtl/>
          <w:lang w:eastAsia="ar-TN" w:bidi="ar-TN"/>
        </w:rPr>
        <w:t xml:space="preserve">  </w:t>
      </w:r>
      <w:r>
        <w:rPr>
          <w:rFonts w:cs="Simplified Arabic"/>
          <w:sz w:val="28"/>
          <w:szCs w:val="28"/>
          <w:lang w:eastAsia="ar-TN" w:bidi="ar-TN"/>
        </w:rPr>
        <w:t>.</w:t>
      </w:r>
    </w:p>
    <w:p w14:paraId="7B59D4D7" w14:textId="77777777" w:rsidR="00AB74D7" w:rsidRDefault="00AB74D7" w:rsidP="00AB74D7">
      <w:pPr>
        <w:jc w:val="both"/>
        <w:rPr>
          <w:rFonts w:cs="Simplified Arabic"/>
          <w:sz w:val="28"/>
          <w:szCs w:val="28"/>
          <w:rtl/>
          <w:lang w:eastAsia="ar-TN" w:bidi="ar-TN"/>
        </w:rPr>
      </w:pPr>
      <w:r>
        <w:rPr>
          <w:rFonts w:cs="Simplified Arabic" w:hint="cs"/>
          <w:sz w:val="28"/>
          <w:szCs w:val="28"/>
          <w:rtl/>
          <w:lang w:eastAsia="ar-TN" w:bidi="ar-TN"/>
        </w:rPr>
        <w:t>يتمّ إرسال العروض وجوبا عبر منظومة الشراء العمومي المشار إليها أعلاه.</w:t>
      </w:r>
    </w:p>
    <w:p w14:paraId="04243F97" w14:textId="7AF1A2F6" w:rsidR="00AB74D7" w:rsidRDefault="00AB74D7" w:rsidP="00A2718E">
      <w:pPr>
        <w:jc w:val="both"/>
        <w:rPr>
          <w:rFonts w:cs="Simplified Arabic"/>
          <w:sz w:val="28"/>
          <w:szCs w:val="28"/>
          <w:rtl/>
          <w:lang w:eastAsia="ar-TN" w:bidi="ar-TN"/>
        </w:rPr>
      </w:pPr>
      <w:r>
        <w:rPr>
          <w:rFonts w:cs="Simplified Arabic" w:hint="cs"/>
          <w:sz w:val="28"/>
          <w:szCs w:val="28"/>
          <w:rtl/>
          <w:lang w:eastAsia="ar-TN" w:bidi="ar-TN"/>
        </w:rPr>
        <w:t xml:space="preserve">حدّد آخر أجل لقبول العروض ليوم </w:t>
      </w:r>
      <w:r w:rsidR="00AC57A9">
        <w:rPr>
          <w:rFonts w:cs="Simplified Arabic" w:hint="cs"/>
          <w:sz w:val="28"/>
          <w:szCs w:val="28"/>
          <w:rtl/>
          <w:lang w:eastAsia="ar-TN" w:bidi="ar-TN"/>
        </w:rPr>
        <w:t>الاثنين 03 أكتوبر 2022</w:t>
      </w:r>
      <w:r w:rsidR="000538C7">
        <w:rPr>
          <w:rFonts w:cs="Simplified Arabic" w:hint="cs"/>
          <w:sz w:val="28"/>
          <w:szCs w:val="28"/>
          <w:rtl/>
          <w:lang w:eastAsia="ar-TN" w:bidi="ar-TN"/>
        </w:rPr>
        <w:t xml:space="preserve"> </w:t>
      </w:r>
      <w:r w:rsidR="00AC57A9">
        <w:rPr>
          <w:rFonts w:cs="Simplified Arabic" w:hint="cs"/>
          <w:sz w:val="28"/>
          <w:szCs w:val="28"/>
          <w:rtl/>
          <w:lang w:eastAsia="ar-TN" w:bidi="ar-TN"/>
        </w:rPr>
        <w:t>على</w:t>
      </w:r>
      <w:r>
        <w:rPr>
          <w:rFonts w:cs="Simplified Arabic" w:hint="cs"/>
          <w:sz w:val="28"/>
          <w:szCs w:val="28"/>
          <w:rtl/>
          <w:lang w:eastAsia="ar-TN" w:bidi="ar-TN"/>
        </w:rPr>
        <w:t xml:space="preserve"> الساعة العاشرة صباحا ويتمّ فتح العروض في نفس اليوم على الساعة الحادية عشر صباحا بمقر الإدارة العامة للشؤون الإدارية والمالية والوسائل العامة الكائنة بنهج ابن النديم </w:t>
      </w:r>
      <w:r>
        <w:rPr>
          <w:rFonts w:cs="Simplified Arabic"/>
          <w:sz w:val="28"/>
          <w:szCs w:val="28"/>
          <w:rtl/>
          <w:lang w:eastAsia="ar-TN" w:bidi="ar-TN"/>
        </w:rPr>
        <w:t>–</w:t>
      </w:r>
      <w:r>
        <w:rPr>
          <w:rFonts w:cs="Simplified Arabic" w:hint="cs"/>
          <w:sz w:val="28"/>
          <w:szCs w:val="28"/>
          <w:rtl/>
          <w:lang w:eastAsia="ar-TN" w:bidi="ar-TN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eastAsia="ar-TN" w:bidi="ar-TN"/>
        </w:rPr>
        <w:t>مونبليزير</w:t>
      </w:r>
      <w:proofErr w:type="spellEnd"/>
      <w:r>
        <w:rPr>
          <w:rFonts w:cs="Simplified Arabic" w:hint="cs"/>
          <w:sz w:val="28"/>
          <w:szCs w:val="28"/>
          <w:rtl/>
          <w:lang w:eastAsia="ar-TN" w:bidi="ar-TN"/>
        </w:rPr>
        <w:t>.</w:t>
      </w:r>
    </w:p>
    <w:p w14:paraId="7DA83C0C" w14:textId="77777777" w:rsidR="00AB74D7" w:rsidRDefault="00AB74D7" w:rsidP="00AB74D7">
      <w:pPr>
        <w:ind w:firstLine="483"/>
        <w:jc w:val="both"/>
        <w:rPr>
          <w:rFonts w:cs="Simplified Arabic"/>
          <w:sz w:val="28"/>
          <w:szCs w:val="28"/>
          <w:rtl/>
          <w:lang w:bidi="ar-TN"/>
        </w:rPr>
      </w:pPr>
    </w:p>
    <w:p w14:paraId="3A14A167" w14:textId="77777777" w:rsidR="00AB74D7" w:rsidRDefault="00AB74D7" w:rsidP="00AB74D7">
      <w:pPr>
        <w:rPr>
          <w:lang w:bidi="ar-TN"/>
        </w:rPr>
      </w:pPr>
    </w:p>
    <w:p w14:paraId="4480CECD" w14:textId="77777777" w:rsidR="00AB74D7" w:rsidRPr="009C5F47" w:rsidRDefault="00AB74D7" w:rsidP="00AB74D7">
      <w:pPr>
        <w:ind w:firstLine="483"/>
        <w:jc w:val="both"/>
        <w:rPr>
          <w:rFonts w:cs="Simplified Arabic"/>
          <w:sz w:val="28"/>
          <w:szCs w:val="28"/>
          <w:rtl/>
          <w:lang w:bidi="ar-TN"/>
        </w:rPr>
      </w:pPr>
    </w:p>
    <w:p w14:paraId="1C8A54E8" w14:textId="77777777" w:rsidR="00AB74D7" w:rsidRPr="00B74D69" w:rsidRDefault="00AB74D7" w:rsidP="00AB74D7">
      <w:pPr>
        <w:rPr>
          <w:lang w:val="fr-FR" w:bidi="ar-TN"/>
        </w:rPr>
      </w:pPr>
    </w:p>
    <w:p w14:paraId="01E8183C" w14:textId="77777777" w:rsidR="00AB74D7" w:rsidRPr="00847A27" w:rsidRDefault="00AB74D7" w:rsidP="00AB74D7">
      <w:pPr>
        <w:jc w:val="center"/>
        <w:rPr>
          <w:b/>
          <w:bCs/>
          <w:sz w:val="32"/>
          <w:szCs w:val="32"/>
          <w:rtl/>
          <w:lang w:bidi="ar-TN"/>
        </w:rPr>
      </w:pPr>
    </w:p>
    <w:p w14:paraId="3FF66201" w14:textId="77777777" w:rsidR="00AB74D7" w:rsidRDefault="00AB74D7" w:rsidP="00AB74D7">
      <w:pPr>
        <w:jc w:val="center"/>
        <w:rPr>
          <w:b/>
          <w:bCs/>
          <w:sz w:val="32"/>
          <w:szCs w:val="32"/>
          <w:rtl/>
          <w:lang w:bidi="ar-TN"/>
        </w:rPr>
      </w:pPr>
    </w:p>
    <w:p w14:paraId="6A1AA0A5" w14:textId="77777777" w:rsidR="00AB74D7" w:rsidRDefault="00AB74D7" w:rsidP="001D19A1">
      <w:pPr>
        <w:jc w:val="center"/>
        <w:rPr>
          <w:b/>
          <w:bCs/>
          <w:sz w:val="36"/>
          <w:szCs w:val="36"/>
          <w:rtl/>
          <w:lang w:bidi="ar-TN"/>
        </w:rPr>
      </w:pPr>
    </w:p>
    <w:p w14:paraId="1A91DA72" w14:textId="77777777" w:rsidR="00AB74D7" w:rsidRDefault="00AB74D7" w:rsidP="001D19A1">
      <w:pPr>
        <w:jc w:val="center"/>
        <w:rPr>
          <w:b/>
          <w:bCs/>
          <w:sz w:val="36"/>
          <w:szCs w:val="36"/>
          <w:rtl/>
          <w:lang w:bidi="ar-TN"/>
        </w:rPr>
      </w:pPr>
    </w:p>
    <w:p w14:paraId="68760E98" w14:textId="77777777" w:rsidR="00AB74D7" w:rsidRDefault="00AB74D7" w:rsidP="001D19A1">
      <w:pPr>
        <w:jc w:val="center"/>
        <w:rPr>
          <w:b/>
          <w:bCs/>
          <w:sz w:val="36"/>
          <w:szCs w:val="36"/>
          <w:rtl/>
          <w:lang w:bidi="ar-TN"/>
        </w:rPr>
      </w:pPr>
    </w:p>
    <w:sectPr w:rsidR="00AB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A1"/>
    <w:rsid w:val="000538C7"/>
    <w:rsid w:val="00056B4E"/>
    <w:rsid w:val="00176B1F"/>
    <w:rsid w:val="001D19A1"/>
    <w:rsid w:val="001F6248"/>
    <w:rsid w:val="00241539"/>
    <w:rsid w:val="00314ED4"/>
    <w:rsid w:val="003364DD"/>
    <w:rsid w:val="005D7429"/>
    <w:rsid w:val="00756380"/>
    <w:rsid w:val="00A2718E"/>
    <w:rsid w:val="00AB74D7"/>
    <w:rsid w:val="00AC57A9"/>
    <w:rsid w:val="00B74D69"/>
    <w:rsid w:val="00BA0CD3"/>
    <w:rsid w:val="00BB064D"/>
    <w:rsid w:val="00D32FDD"/>
    <w:rsid w:val="00F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A722"/>
  <w15:chartTrackingRefBased/>
  <w15:docId w15:val="{11EDBECB-7892-4121-8222-FC71934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15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53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Naceur Wardi</dc:creator>
  <cp:keywords/>
  <dc:description/>
  <cp:lastModifiedBy>Naceur Wardi</cp:lastModifiedBy>
  <cp:revision>6</cp:revision>
  <cp:lastPrinted>2022-09-07T08:12:00Z</cp:lastPrinted>
  <dcterms:created xsi:type="dcterms:W3CDTF">2022-05-24T10:49:00Z</dcterms:created>
  <dcterms:modified xsi:type="dcterms:W3CDTF">2022-09-07T08:35:00Z</dcterms:modified>
</cp:coreProperties>
</file>