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A9" w:rsidRPr="00605EAB" w:rsidRDefault="00A31CA9" w:rsidP="00A31CA9">
      <w:pPr>
        <w:spacing w:before="72" w:line="232" w:lineRule="auto"/>
        <w:ind w:left="3984" w:right="3984" w:hanging="1"/>
        <w:jc w:val="center"/>
        <w:rPr>
          <w:rFonts w:ascii="Arial" w:hAnsi="Arial"/>
          <w:b/>
          <w:sz w:val="20"/>
          <w:lang w:val="fr-FR"/>
        </w:rPr>
      </w:pPr>
      <w:r w:rsidRPr="00605EAB">
        <w:rPr>
          <w:rFonts w:ascii="Arial" w:hAnsi="Arial"/>
          <w:b/>
          <w:sz w:val="20"/>
          <w:lang w:val="fr-FR"/>
        </w:rPr>
        <w:t xml:space="preserve">MINISTERE DE L’AGRICULTURE, DES RESSOURCES HYDRAULIQUES ET DE </w:t>
      </w:r>
      <w:r w:rsidRPr="00605EAB">
        <w:rPr>
          <w:rFonts w:ascii="Arial" w:hAnsi="Arial"/>
          <w:b/>
          <w:spacing w:val="2"/>
          <w:sz w:val="20"/>
          <w:lang w:val="fr-FR"/>
        </w:rPr>
        <w:t>LA</w:t>
      </w:r>
      <w:r w:rsidRPr="00605EAB">
        <w:rPr>
          <w:rFonts w:ascii="Arial" w:hAnsi="Arial"/>
          <w:b/>
          <w:spacing w:val="-5"/>
          <w:sz w:val="20"/>
          <w:lang w:val="fr-FR"/>
        </w:rPr>
        <w:t xml:space="preserve"> </w:t>
      </w:r>
      <w:r w:rsidRPr="00605EAB">
        <w:rPr>
          <w:rFonts w:ascii="Arial" w:hAnsi="Arial"/>
          <w:b/>
          <w:sz w:val="20"/>
          <w:lang w:val="fr-FR"/>
        </w:rPr>
        <w:t>PECHE</w:t>
      </w:r>
    </w:p>
    <w:p w:rsidR="00A31CA9" w:rsidRPr="00A45BBE" w:rsidRDefault="00A31CA9" w:rsidP="00A31CA9">
      <w:pPr>
        <w:pStyle w:val="Corpsdetexte"/>
        <w:spacing w:before="7"/>
        <w:rPr>
          <w:rFonts w:ascii="Arial"/>
          <w:b/>
          <w:sz w:val="19"/>
          <w:lang w:val="fr-FR"/>
        </w:rPr>
      </w:pPr>
    </w:p>
    <w:p w:rsidR="00A31CA9" w:rsidRPr="00A45BBE" w:rsidRDefault="00A31CA9" w:rsidP="00A31CA9">
      <w:pPr>
        <w:pStyle w:val="Titre11"/>
        <w:jc w:val="center"/>
        <w:rPr>
          <w:lang w:val="fr-FR"/>
        </w:rPr>
      </w:pPr>
      <w:bookmarkStart w:id="0" w:name="_Toc99360539"/>
      <w:r w:rsidRPr="00A45BBE">
        <w:rPr>
          <w:lang w:val="fr-FR"/>
        </w:rPr>
        <w:t xml:space="preserve">AVIS D’APPEL D’OFFRES N° </w:t>
      </w:r>
      <w:r>
        <w:rPr>
          <w:lang w:val="fr-FR" w:bidi="ar-TN"/>
        </w:rPr>
        <w:t>27</w:t>
      </w:r>
      <w:r w:rsidRPr="00A45BBE">
        <w:rPr>
          <w:lang w:val="fr-FR"/>
        </w:rPr>
        <w:t>/</w:t>
      </w:r>
      <w:r>
        <w:rPr>
          <w:lang w:val="fr-FR"/>
        </w:rPr>
        <w:t>2022</w:t>
      </w:r>
      <w:bookmarkEnd w:id="0"/>
    </w:p>
    <w:p w:rsidR="00A31CA9" w:rsidRPr="00A45BBE" w:rsidRDefault="00A31CA9" w:rsidP="00A31CA9">
      <w:pPr>
        <w:pStyle w:val="Titre11"/>
        <w:rPr>
          <w:lang w:val="fr-FR"/>
        </w:rPr>
      </w:pPr>
      <w:bookmarkStart w:id="1" w:name="_Toc2323966"/>
      <w:bookmarkStart w:id="2" w:name="_Toc2324331"/>
      <w:bookmarkStart w:id="3" w:name="_Toc33290525"/>
      <w:bookmarkStart w:id="4" w:name="_Toc99360540"/>
      <w:r w:rsidRPr="00A45BBE">
        <w:rPr>
          <w:lang w:val="fr-FR"/>
        </w:rPr>
        <w:t>Acquisition de matériel tubulaire pour forages d’eau</w:t>
      </w:r>
      <w:bookmarkEnd w:id="1"/>
      <w:bookmarkEnd w:id="2"/>
      <w:bookmarkEnd w:id="3"/>
      <w:bookmarkEnd w:id="4"/>
    </w:p>
    <w:p w:rsidR="00A31CA9" w:rsidRPr="00A45BBE" w:rsidRDefault="00A31CA9" w:rsidP="00A31CA9">
      <w:pPr>
        <w:pStyle w:val="Titre11"/>
        <w:rPr>
          <w:sz w:val="40"/>
          <w:lang w:val="fr-FR"/>
        </w:rPr>
      </w:pPr>
    </w:p>
    <w:p w:rsidR="00A31CA9" w:rsidRDefault="00A31CA9" w:rsidP="00A31CA9">
      <w:pPr>
        <w:ind w:left="952" w:right="955"/>
        <w:jc w:val="both"/>
        <w:rPr>
          <w:sz w:val="20"/>
          <w:lang w:val="fr-FR"/>
        </w:rPr>
      </w:pPr>
      <w:r w:rsidRPr="00A45BBE">
        <w:rPr>
          <w:sz w:val="20"/>
          <w:lang w:val="fr-FR"/>
        </w:rPr>
        <w:t>Le Ministère de L’Agriculture</w:t>
      </w:r>
      <w:r>
        <w:rPr>
          <w:sz w:val="20"/>
          <w:lang w:val="fr-FR"/>
        </w:rPr>
        <w:t>,</w:t>
      </w:r>
      <w:r w:rsidRPr="00A45BBE">
        <w:rPr>
          <w:sz w:val="20"/>
          <w:lang w:val="fr-FR"/>
        </w:rPr>
        <w:t xml:space="preserve"> des Ressources Hydrauliques </w:t>
      </w:r>
      <w:r>
        <w:rPr>
          <w:sz w:val="20"/>
          <w:lang w:val="fr-FR"/>
        </w:rPr>
        <w:t xml:space="preserve">et </w:t>
      </w:r>
      <w:r w:rsidRPr="00A45BBE">
        <w:rPr>
          <w:sz w:val="20"/>
          <w:lang w:val="fr-FR"/>
        </w:rPr>
        <w:t xml:space="preserve">de la Pêche se propose de lancer un Appel d’Offres pour acquérir au profit de la Régie des Sondages Hydrauliques (RSH) </w:t>
      </w:r>
      <w:r w:rsidRPr="00605EAB">
        <w:rPr>
          <w:sz w:val="20"/>
          <w:lang w:val="fr-FR"/>
        </w:rPr>
        <w:t>200 mètres de tiges</w:t>
      </w:r>
      <w:r w:rsidRPr="00605EAB">
        <w:rPr>
          <w:spacing w:val="-2"/>
          <w:sz w:val="20"/>
          <w:lang w:val="fr-FR"/>
        </w:rPr>
        <w:t xml:space="preserve"> </w:t>
      </w:r>
      <w:r w:rsidRPr="00605EAB">
        <w:rPr>
          <w:sz w:val="20"/>
          <w:lang w:val="fr-FR"/>
        </w:rPr>
        <w:t>2"</w:t>
      </w:r>
      <w:r w:rsidRPr="00605EAB">
        <w:rPr>
          <w:position w:val="7"/>
          <w:sz w:val="13"/>
          <w:lang w:val="fr-FR"/>
        </w:rPr>
        <w:t>7/8</w:t>
      </w:r>
      <w:r w:rsidRPr="00A45BBE">
        <w:rPr>
          <w:sz w:val="20"/>
          <w:lang w:val="fr-FR"/>
        </w:rPr>
        <w:t>.</w:t>
      </w:r>
    </w:p>
    <w:p w:rsidR="00A31CA9" w:rsidRPr="00A45BBE" w:rsidRDefault="00A31CA9" w:rsidP="00A31CA9">
      <w:pPr>
        <w:pStyle w:val="Paragraphedeliste"/>
        <w:tabs>
          <w:tab w:val="left" w:pos="1673"/>
          <w:tab w:val="left" w:pos="1674"/>
        </w:tabs>
        <w:spacing w:line="241" w:lineRule="exact"/>
        <w:ind w:left="1673" w:firstLine="0"/>
        <w:rPr>
          <w:sz w:val="20"/>
          <w:lang w:val="fr-FR"/>
        </w:rPr>
      </w:pPr>
    </w:p>
    <w:p w:rsidR="00A31CA9" w:rsidRPr="00A45BBE" w:rsidRDefault="00A31CA9" w:rsidP="00A31CA9">
      <w:pPr>
        <w:pStyle w:val="Corpsdetexte"/>
        <w:spacing w:before="7"/>
        <w:rPr>
          <w:sz w:val="19"/>
          <w:lang w:val="fr-FR"/>
        </w:rPr>
      </w:pPr>
    </w:p>
    <w:p w:rsidR="00A31CA9" w:rsidRPr="00A45BBE" w:rsidRDefault="00A31CA9" w:rsidP="00A31CA9">
      <w:pPr>
        <w:spacing w:line="304" w:lineRule="auto"/>
        <w:ind w:left="952" w:right="1121"/>
        <w:jc w:val="both"/>
        <w:rPr>
          <w:sz w:val="20"/>
          <w:lang w:val="fr-FR"/>
        </w:rPr>
      </w:pPr>
      <w:r w:rsidRPr="00A45BBE">
        <w:rPr>
          <w:sz w:val="20"/>
          <w:lang w:val="fr-FR"/>
        </w:rPr>
        <w:t xml:space="preserve">Les fournisseurs intéressés par cet appel d’offres sont priés de télécharger gratuitement le cahier des charges </w:t>
      </w:r>
      <w:r w:rsidRPr="00A45BBE">
        <w:rPr>
          <w:b/>
          <w:bCs/>
          <w:sz w:val="20"/>
          <w:lang w:val="fr-FR"/>
        </w:rPr>
        <w:t>via le système TUNEPS</w:t>
      </w:r>
      <w:r w:rsidRPr="00A45BBE">
        <w:rPr>
          <w:sz w:val="20"/>
          <w:lang w:val="fr-FR"/>
        </w:rPr>
        <w:t>, à partir de la parution du présent avis.</w:t>
      </w:r>
    </w:p>
    <w:p w:rsidR="00A31CA9" w:rsidRPr="00A45BBE" w:rsidRDefault="00A31CA9" w:rsidP="00A31CA9">
      <w:pPr>
        <w:pStyle w:val="Corpsdetexte"/>
        <w:spacing w:before="9"/>
        <w:rPr>
          <w:sz w:val="19"/>
          <w:lang w:val="fr-FR"/>
        </w:rPr>
      </w:pPr>
    </w:p>
    <w:p w:rsidR="00A31CA9" w:rsidRPr="000D6EFD" w:rsidRDefault="00A31CA9" w:rsidP="00A31CA9">
      <w:pPr>
        <w:pStyle w:val="Paragraphedeliste"/>
        <w:numPr>
          <w:ilvl w:val="1"/>
          <w:numId w:val="1"/>
        </w:numPr>
        <w:tabs>
          <w:tab w:val="left" w:pos="1947"/>
        </w:tabs>
        <w:spacing w:line="243" w:lineRule="exact"/>
        <w:ind w:hanging="285"/>
        <w:rPr>
          <w:sz w:val="20"/>
          <w:lang w:val="fr-FR"/>
        </w:rPr>
      </w:pPr>
      <w:r w:rsidRPr="00A45BBE">
        <w:rPr>
          <w:sz w:val="20"/>
          <w:lang w:val="fr-FR"/>
        </w:rPr>
        <w:t xml:space="preserve">Les montant de caution </w:t>
      </w:r>
      <w:r>
        <w:rPr>
          <w:sz w:val="20"/>
          <w:lang w:val="fr-FR"/>
        </w:rPr>
        <w:t xml:space="preserve">est de </w:t>
      </w:r>
      <w:r w:rsidRPr="000D6EFD">
        <w:rPr>
          <w:sz w:val="20"/>
          <w:lang w:val="fr-FR"/>
        </w:rPr>
        <w:t>600   dinars</w:t>
      </w:r>
    </w:p>
    <w:p w:rsidR="00A31CA9" w:rsidRPr="00A45BBE" w:rsidRDefault="00A31CA9" w:rsidP="00A31CA9">
      <w:pPr>
        <w:pStyle w:val="Paragraphedeliste"/>
        <w:tabs>
          <w:tab w:val="left" w:pos="1237"/>
        </w:tabs>
        <w:spacing w:line="241" w:lineRule="exact"/>
        <w:ind w:left="1236" w:firstLine="0"/>
        <w:jc w:val="both"/>
        <w:rPr>
          <w:b/>
          <w:sz w:val="20"/>
          <w:lang w:val="fr-FR"/>
        </w:rPr>
      </w:pPr>
    </w:p>
    <w:p w:rsidR="00A31CA9" w:rsidRPr="00A45BBE" w:rsidRDefault="00A31CA9" w:rsidP="00A31CA9">
      <w:pPr>
        <w:pStyle w:val="Paragraphedeliste"/>
        <w:numPr>
          <w:ilvl w:val="0"/>
          <w:numId w:val="2"/>
        </w:numPr>
        <w:tabs>
          <w:tab w:val="left" w:pos="1237"/>
        </w:tabs>
        <w:spacing w:line="241" w:lineRule="exact"/>
        <w:jc w:val="both"/>
        <w:rPr>
          <w:b/>
          <w:sz w:val="20"/>
          <w:lang w:val="fr-FR"/>
        </w:rPr>
      </w:pPr>
      <w:r w:rsidRPr="00A45BBE">
        <w:rPr>
          <w:b/>
          <w:sz w:val="20"/>
          <w:lang w:val="fr-FR"/>
        </w:rPr>
        <w:t>Envoi et remise des Offres</w:t>
      </w:r>
    </w:p>
    <w:p w:rsidR="00A31CA9" w:rsidRPr="00A45BBE" w:rsidRDefault="00A31CA9" w:rsidP="00A31CA9">
      <w:pPr>
        <w:pStyle w:val="Paragraphedeliste"/>
        <w:spacing w:before="120"/>
        <w:ind w:left="1236" w:right="918" w:firstLine="0"/>
        <w:jc w:val="both"/>
        <w:rPr>
          <w:lang w:val="fr-FR"/>
        </w:rPr>
      </w:pPr>
      <w:r w:rsidRPr="00A45BBE">
        <w:rPr>
          <w:lang w:val="fr-FR"/>
        </w:rPr>
        <w:t xml:space="preserve">Les soumissionnaires doivent envoyer via le système </w:t>
      </w:r>
      <w:r w:rsidRPr="00A45BBE">
        <w:rPr>
          <w:b/>
          <w:bCs/>
          <w:sz w:val="20"/>
          <w:lang w:val="fr-FR"/>
        </w:rPr>
        <w:t>TUNEPS</w:t>
      </w:r>
      <w:r w:rsidRPr="00A45BBE">
        <w:rPr>
          <w:lang w:val="fr-FR"/>
        </w:rPr>
        <w:t xml:space="preserve"> </w:t>
      </w:r>
      <w:r w:rsidRPr="00A45BBE">
        <w:rPr>
          <w:u w:val="single"/>
          <w:lang w:val="fr-FR"/>
        </w:rPr>
        <w:t>en une seule fois et en même temps</w:t>
      </w:r>
      <w:r w:rsidRPr="00A45BBE">
        <w:rPr>
          <w:lang w:val="fr-FR"/>
        </w:rPr>
        <w:t xml:space="preserve"> leurs offres</w:t>
      </w:r>
      <w:r>
        <w:rPr>
          <w:lang w:val="fr-FR"/>
        </w:rPr>
        <w:t>.</w:t>
      </w:r>
      <w:r w:rsidRPr="00A45BBE">
        <w:rPr>
          <w:lang w:val="fr-FR"/>
        </w:rPr>
        <w:t xml:space="preserve"> </w:t>
      </w:r>
    </w:p>
    <w:p w:rsidR="00A31CA9" w:rsidRPr="00A45BBE" w:rsidRDefault="00A31CA9" w:rsidP="00A31CA9">
      <w:pPr>
        <w:pStyle w:val="Corpsdetexte"/>
        <w:spacing w:before="1"/>
        <w:ind w:left="1236" w:right="918"/>
        <w:jc w:val="both"/>
        <w:rPr>
          <w:lang w:val="fr-FR" w:bidi="ar-TN"/>
        </w:rPr>
      </w:pPr>
      <w:r w:rsidRPr="00A45BBE">
        <w:rPr>
          <w:lang w:val="fr-FR"/>
        </w:rPr>
        <w:t xml:space="preserve">Seuls les plis reçus à travers </w:t>
      </w:r>
      <w:r w:rsidRPr="00A45BBE">
        <w:rPr>
          <w:b/>
          <w:bCs/>
          <w:sz w:val="20"/>
          <w:lang w:val="fr-FR"/>
        </w:rPr>
        <w:t>TUNEPS</w:t>
      </w:r>
      <w:r w:rsidRPr="00A45BBE">
        <w:rPr>
          <w:lang w:val="fr-FR"/>
        </w:rPr>
        <w:t xml:space="preserve"> au plus tard </w:t>
      </w:r>
      <w:r w:rsidRPr="00A45BBE">
        <w:rPr>
          <w:sz w:val="20"/>
          <w:lang w:val="fr-FR"/>
        </w:rPr>
        <w:t xml:space="preserve">le </w:t>
      </w:r>
      <w:r w:rsidRPr="00E10BE2">
        <w:rPr>
          <w:rFonts w:hint="cs"/>
          <w:bCs/>
          <w:sz w:val="20"/>
          <w:szCs w:val="20"/>
          <w:u w:val="single"/>
          <w:rtl/>
          <w:lang w:val="fr-FR" w:bidi="ar-TN"/>
        </w:rPr>
        <w:t>18</w:t>
      </w:r>
      <w:r w:rsidRPr="00E10BE2">
        <w:rPr>
          <w:bCs/>
          <w:sz w:val="20"/>
          <w:szCs w:val="20"/>
          <w:u w:val="single"/>
          <w:lang w:val="fr-FR" w:bidi="ar-TN"/>
        </w:rPr>
        <w:t>/</w:t>
      </w:r>
      <w:r w:rsidRPr="00E10BE2">
        <w:rPr>
          <w:rFonts w:hint="cs"/>
          <w:bCs/>
          <w:sz w:val="20"/>
          <w:szCs w:val="20"/>
          <w:u w:val="single"/>
          <w:rtl/>
          <w:lang w:val="fr-FR" w:bidi="ar-TN"/>
        </w:rPr>
        <w:t>08</w:t>
      </w:r>
      <w:r w:rsidRPr="00E10BE2">
        <w:rPr>
          <w:bCs/>
          <w:sz w:val="20"/>
          <w:szCs w:val="20"/>
          <w:u w:val="single"/>
          <w:lang w:val="fr-FR" w:bidi="ar-TN"/>
        </w:rPr>
        <w:t>/</w:t>
      </w:r>
      <w:r w:rsidRPr="00E10BE2">
        <w:rPr>
          <w:b/>
          <w:sz w:val="20"/>
          <w:u w:val="single"/>
          <w:lang w:val="fr-FR" w:bidi="ar-TN"/>
        </w:rPr>
        <w:t>2022</w:t>
      </w:r>
      <w:r w:rsidRPr="00E10BE2">
        <w:rPr>
          <w:b/>
          <w:sz w:val="20"/>
          <w:u w:val="single"/>
          <w:lang w:val="fr-FR"/>
        </w:rPr>
        <w:t xml:space="preserve"> à 10</w:t>
      </w:r>
      <w:r w:rsidRPr="00E10BE2">
        <w:rPr>
          <w:b/>
          <w:position w:val="7"/>
          <w:sz w:val="13"/>
          <w:u w:val="single"/>
          <w:lang w:val="fr-FR"/>
        </w:rPr>
        <w:t>H</w:t>
      </w:r>
      <w:r w:rsidRPr="00E10BE2">
        <w:rPr>
          <w:b/>
          <w:sz w:val="20"/>
          <w:u w:val="single"/>
          <w:lang w:val="fr-FR"/>
        </w:rPr>
        <w:t>00</w:t>
      </w:r>
      <w:r w:rsidRPr="00A45BBE">
        <w:rPr>
          <w:lang w:val="fr-FR"/>
        </w:rPr>
        <w:t xml:space="preserve">, </w:t>
      </w:r>
      <w:r w:rsidRPr="00A45BBE">
        <w:rPr>
          <w:u w:val="single"/>
          <w:lang w:val="fr-FR"/>
        </w:rPr>
        <w:t>seront déclarés recevables</w:t>
      </w:r>
      <w:r w:rsidRPr="00A45BBE">
        <w:rPr>
          <w:lang w:val="fr-FR"/>
        </w:rPr>
        <w:t>.</w:t>
      </w:r>
    </w:p>
    <w:p w:rsidR="00A31CA9" w:rsidRPr="00A45BBE" w:rsidRDefault="00A31CA9" w:rsidP="00A31CA9">
      <w:pPr>
        <w:pStyle w:val="Paragraphedeliste"/>
        <w:tabs>
          <w:tab w:val="left" w:pos="1237"/>
        </w:tabs>
        <w:spacing w:line="241" w:lineRule="exact"/>
        <w:ind w:left="1236" w:firstLine="0"/>
        <w:jc w:val="both"/>
        <w:rPr>
          <w:b/>
          <w:sz w:val="20"/>
          <w:lang w:val="fr-FR"/>
        </w:rPr>
      </w:pPr>
    </w:p>
    <w:p w:rsidR="00A31CA9" w:rsidRPr="00A45BBE" w:rsidRDefault="00A31CA9" w:rsidP="00A31CA9">
      <w:pPr>
        <w:pStyle w:val="Paragraphedeliste"/>
        <w:numPr>
          <w:ilvl w:val="0"/>
          <w:numId w:val="2"/>
        </w:numPr>
        <w:tabs>
          <w:tab w:val="left" w:pos="1237"/>
        </w:tabs>
        <w:spacing w:line="241" w:lineRule="exact"/>
        <w:jc w:val="both"/>
        <w:rPr>
          <w:b/>
          <w:sz w:val="20"/>
        </w:rPr>
      </w:pPr>
      <w:proofErr w:type="spellStart"/>
      <w:r w:rsidRPr="00A45BBE">
        <w:rPr>
          <w:b/>
          <w:sz w:val="20"/>
        </w:rPr>
        <w:t>Validité</w:t>
      </w:r>
      <w:proofErr w:type="spellEnd"/>
      <w:r w:rsidRPr="00A45BBE">
        <w:rPr>
          <w:b/>
          <w:sz w:val="20"/>
        </w:rPr>
        <w:t xml:space="preserve"> des </w:t>
      </w:r>
      <w:proofErr w:type="spellStart"/>
      <w:r w:rsidRPr="00A45BBE">
        <w:rPr>
          <w:b/>
          <w:sz w:val="20"/>
        </w:rPr>
        <w:t>Offres</w:t>
      </w:r>
      <w:proofErr w:type="spellEnd"/>
    </w:p>
    <w:p w:rsidR="00A31CA9" w:rsidRPr="00A45BBE" w:rsidRDefault="00A31CA9" w:rsidP="00A31CA9">
      <w:pPr>
        <w:spacing w:line="241" w:lineRule="exact"/>
        <w:ind w:left="952"/>
        <w:jc w:val="both"/>
        <w:rPr>
          <w:sz w:val="20"/>
          <w:lang w:val="fr-FR"/>
        </w:rPr>
      </w:pPr>
      <w:r w:rsidRPr="00A45BBE">
        <w:rPr>
          <w:sz w:val="20"/>
          <w:lang w:val="fr-FR"/>
        </w:rPr>
        <w:t xml:space="preserve">La validité des offres est fixée à </w:t>
      </w:r>
      <w:r w:rsidRPr="00EB3D65">
        <w:rPr>
          <w:b/>
          <w:bCs/>
          <w:sz w:val="20"/>
          <w:lang w:val="fr-FR"/>
        </w:rPr>
        <w:t>120</w:t>
      </w:r>
      <w:r w:rsidRPr="00A45BBE">
        <w:rPr>
          <w:sz w:val="20"/>
          <w:lang w:val="fr-FR"/>
        </w:rPr>
        <w:t xml:space="preserve"> jours à partir du jour suivant la date limite de réception des offres.</w:t>
      </w:r>
    </w:p>
    <w:p w:rsidR="00A31CA9" w:rsidRPr="00A45BBE" w:rsidRDefault="00A31CA9" w:rsidP="00A31CA9">
      <w:pPr>
        <w:spacing w:line="241" w:lineRule="exact"/>
        <w:ind w:left="952"/>
        <w:jc w:val="both"/>
        <w:rPr>
          <w:sz w:val="20"/>
          <w:lang w:val="fr-FR"/>
        </w:rPr>
      </w:pPr>
    </w:p>
    <w:p w:rsidR="00A31CA9" w:rsidRPr="00A45BBE" w:rsidRDefault="00A31CA9" w:rsidP="00A31CA9">
      <w:pPr>
        <w:pStyle w:val="Paragraphedeliste"/>
        <w:numPr>
          <w:ilvl w:val="0"/>
          <w:numId w:val="2"/>
        </w:numPr>
        <w:tabs>
          <w:tab w:val="left" w:pos="1237"/>
        </w:tabs>
        <w:spacing w:before="23" w:line="241" w:lineRule="exact"/>
        <w:jc w:val="both"/>
        <w:rPr>
          <w:b/>
          <w:sz w:val="20"/>
        </w:rPr>
      </w:pPr>
      <w:r w:rsidRPr="00A45BBE">
        <w:rPr>
          <w:b/>
          <w:sz w:val="20"/>
        </w:rPr>
        <w:t xml:space="preserve">Overture des </w:t>
      </w:r>
      <w:proofErr w:type="spellStart"/>
      <w:r w:rsidRPr="00A45BBE">
        <w:rPr>
          <w:b/>
          <w:sz w:val="20"/>
        </w:rPr>
        <w:t>Offres</w:t>
      </w:r>
      <w:proofErr w:type="spellEnd"/>
    </w:p>
    <w:p w:rsidR="00A31CA9" w:rsidRPr="00A45BBE" w:rsidRDefault="00A31CA9" w:rsidP="00A31CA9">
      <w:pPr>
        <w:spacing w:line="241" w:lineRule="exact"/>
        <w:ind w:left="952"/>
        <w:jc w:val="both"/>
        <w:rPr>
          <w:sz w:val="20"/>
          <w:lang w:val="fr-FR"/>
        </w:rPr>
      </w:pPr>
      <w:r w:rsidRPr="00A45BBE">
        <w:rPr>
          <w:sz w:val="20"/>
          <w:lang w:val="fr-FR"/>
        </w:rPr>
        <w:t>L’ouverture des plis est programmée le même jour</w:t>
      </w:r>
      <w:r w:rsidRPr="00A45BBE">
        <w:rPr>
          <w:spacing w:val="51"/>
          <w:sz w:val="20"/>
          <w:lang w:val="fr-FR"/>
        </w:rPr>
        <w:t xml:space="preserve"> </w:t>
      </w:r>
      <w:r w:rsidRPr="00A45BBE">
        <w:rPr>
          <w:sz w:val="20"/>
          <w:lang w:val="fr-FR"/>
        </w:rPr>
        <w:t>fixé comme date limite de réception des offres le</w:t>
      </w:r>
    </w:p>
    <w:p w:rsidR="00A31CA9" w:rsidRPr="00A45BBE" w:rsidRDefault="00A31CA9" w:rsidP="00A31CA9">
      <w:pPr>
        <w:spacing w:before="1"/>
        <w:ind w:left="952" w:right="953"/>
        <w:jc w:val="both"/>
        <w:rPr>
          <w:sz w:val="20"/>
          <w:lang w:val="fr-FR"/>
        </w:rPr>
      </w:pPr>
      <w:r w:rsidRPr="00185EDE">
        <w:rPr>
          <w:bCs/>
          <w:sz w:val="20"/>
          <w:szCs w:val="20"/>
          <w:u w:val="single"/>
        </w:rPr>
        <w:pict>
          <v:line id="_x0000_s1026" style="position:absolute;left:0;text-align:left;z-index:-251656192;mso-position-horizontal-relative:page" from="124.1pt,11.25pt" to="173.2pt,11.25pt" strokeweight=".34714mm">
            <w10:wrap anchorx="page"/>
          </v:line>
        </w:pict>
      </w:r>
      <w:r w:rsidRPr="00E10BE2">
        <w:rPr>
          <w:rFonts w:hint="cs"/>
          <w:bCs/>
          <w:sz w:val="20"/>
          <w:szCs w:val="20"/>
          <w:u w:val="single"/>
          <w:rtl/>
          <w:lang w:val="fr-FR" w:bidi="ar-TN"/>
        </w:rPr>
        <w:t>18</w:t>
      </w:r>
      <w:r w:rsidRPr="00E10BE2">
        <w:rPr>
          <w:bCs/>
          <w:sz w:val="20"/>
          <w:szCs w:val="20"/>
          <w:u w:val="single"/>
          <w:lang w:val="fr-FR" w:bidi="ar-TN"/>
        </w:rPr>
        <w:t>/</w:t>
      </w:r>
      <w:r w:rsidRPr="00E10BE2">
        <w:rPr>
          <w:rFonts w:hint="cs"/>
          <w:bCs/>
          <w:sz w:val="20"/>
          <w:szCs w:val="20"/>
          <w:u w:val="single"/>
          <w:rtl/>
          <w:lang w:val="fr-FR" w:bidi="ar-TN"/>
        </w:rPr>
        <w:t>08</w:t>
      </w:r>
      <w:r w:rsidRPr="00E10BE2">
        <w:rPr>
          <w:bCs/>
          <w:sz w:val="20"/>
          <w:szCs w:val="20"/>
          <w:u w:val="single"/>
          <w:lang w:val="fr-FR" w:bidi="ar-TN"/>
        </w:rPr>
        <w:t>/</w:t>
      </w:r>
      <w:r>
        <w:rPr>
          <w:b/>
          <w:sz w:val="20"/>
          <w:u w:val="single"/>
          <w:lang w:val="fr-FR" w:bidi="ar-TN"/>
        </w:rPr>
        <w:t>2022</w:t>
      </w:r>
      <w:r w:rsidRPr="00A45BBE">
        <w:rPr>
          <w:b/>
          <w:sz w:val="20"/>
          <w:lang w:val="fr-FR"/>
        </w:rPr>
        <w:t xml:space="preserve"> à 10</w:t>
      </w:r>
      <w:r w:rsidRPr="00A45BBE">
        <w:rPr>
          <w:b/>
          <w:position w:val="7"/>
          <w:sz w:val="13"/>
          <w:lang w:val="fr-FR"/>
        </w:rPr>
        <w:t>H</w:t>
      </w:r>
      <w:r w:rsidRPr="00A45BBE">
        <w:rPr>
          <w:b/>
          <w:sz w:val="20"/>
          <w:lang w:val="fr-FR"/>
        </w:rPr>
        <w:t xml:space="preserve">30 </w:t>
      </w:r>
      <w:r w:rsidRPr="00A45BBE">
        <w:rPr>
          <w:sz w:val="20"/>
          <w:lang w:val="fr-FR"/>
        </w:rPr>
        <w:t xml:space="preserve">à la salle </w:t>
      </w:r>
      <w:r w:rsidRPr="00A45BBE">
        <w:rPr>
          <w:b/>
          <w:sz w:val="20"/>
          <w:u w:val="single"/>
          <w:lang w:val="fr-FR"/>
        </w:rPr>
        <w:t>N°111</w:t>
      </w:r>
      <w:r w:rsidRPr="00A45BBE">
        <w:rPr>
          <w:b/>
          <w:sz w:val="20"/>
          <w:lang w:val="fr-FR"/>
        </w:rPr>
        <w:t xml:space="preserve"> </w:t>
      </w:r>
      <w:r w:rsidRPr="00A45BBE">
        <w:rPr>
          <w:sz w:val="20"/>
          <w:lang w:val="fr-FR"/>
        </w:rPr>
        <w:t xml:space="preserve">sise au </w:t>
      </w:r>
      <w:proofErr w:type="spellStart"/>
      <w:r w:rsidRPr="00A45BBE">
        <w:rPr>
          <w:sz w:val="20"/>
          <w:lang w:val="fr-FR"/>
        </w:rPr>
        <w:t>rez</w:t>
      </w:r>
      <w:proofErr w:type="spellEnd"/>
      <w:r w:rsidRPr="00A45BBE">
        <w:rPr>
          <w:sz w:val="20"/>
          <w:lang w:val="fr-FR"/>
        </w:rPr>
        <w:t xml:space="preserve"> de chaussé du bâtiment de la Direction Générale des  Affaires Administratives et Financières du Ministère de l’Agriculture</w:t>
      </w:r>
      <w:r>
        <w:rPr>
          <w:sz w:val="20"/>
          <w:lang w:val="fr-FR"/>
        </w:rPr>
        <w:t>,</w:t>
      </w:r>
      <w:r w:rsidRPr="00A45BBE">
        <w:rPr>
          <w:sz w:val="20"/>
          <w:lang w:val="fr-FR"/>
        </w:rPr>
        <w:t xml:space="preserve"> des Ressources Hydrauliques </w:t>
      </w:r>
      <w:r>
        <w:rPr>
          <w:sz w:val="20"/>
          <w:lang w:val="fr-FR"/>
        </w:rPr>
        <w:t>et de la Pêche</w:t>
      </w:r>
      <w:r w:rsidRPr="00A45BBE">
        <w:rPr>
          <w:sz w:val="20"/>
          <w:lang w:val="fr-FR"/>
        </w:rPr>
        <w:t>, 30, Rue Alain Savary – Tunis, 1002 –Tunisie.</w:t>
      </w:r>
    </w:p>
    <w:p w:rsidR="00A31CA9" w:rsidRDefault="00A31CA9" w:rsidP="00A31CA9">
      <w:pPr>
        <w:jc w:val="both"/>
        <w:rPr>
          <w:rFonts w:hint="cs"/>
          <w:sz w:val="20"/>
          <w:rtl/>
          <w:lang w:val="fr-FR" w:bidi="ar-TN"/>
        </w:rPr>
      </w:pPr>
    </w:p>
    <w:p w:rsidR="004F2B1A" w:rsidRDefault="00F32D71">
      <w:pPr>
        <w:rPr>
          <w:lang w:bidi="ar-TN"/>
        </w:rPr>
      </w:pPr>
      <w:r>
        <w:rPr>
          <w:lang w:bidi="ar-TN"/>
        </w:rPr>
        <w:t xml:space="preserve"> </w:t>
      </w:r>
    </w:p>
    <w:sectPr w:rsidR="004F2B1A" w:rsidSect="00B4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24B6B"/>
    <w:multiLevelType w:val="hybridMultilevel"/>
    <w:tmpl w:val="F20A2994"/>
    <w:lvl w:ilvl="0" w:tplc="9A4AA440">
      <w:start w:val="1"/>
      <w:numFmt w:val="decimal"/>
      <w:lvlText w:val="%1-"/>
      <w:lvlJc w:val="left"/>
      <w:pPr>
        <w:ind w:left="1236" w:hanging="284"/>
      </w:pPr>
      <w:rPr>
        <w:rFonts w:ascii="Tahoma" w:eastAsia="Tahoma" w:hAnsi="Tahoma" w:cs="Tahoma" w:hint="default"/>
        <w:b/>
        <w:bCs/>
        <w:w w:val="99"/>
        <w:sz w:val="20"/>
        <w:szCs w:val="20"/>
        <w:lang w:val="en-US" w:eastAsia="en-US" w:bidi="en-US"/>
      </w:rPr>
    </w:lvl>
    <w:lvl w:ilvl="1" w:tplc="D54ECFD6">
      <w:numFmt w:val="bullet"/>
      <w:lvlText w:val=""/>
      <w:lvlJc w:val="left"/>
      <w:pPr>
        <w:ind w:left="1946" w:hanging="28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F36E7590">
      <w:numFmt w:val="bullet"/>
      <w:lvlText w:val="o"/>
      <w:lvlJc w:val="left"/>
      <w:pPr>
        <w:ind w:left="3362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3" w:tplc="9DD697A4">
      <w:numFmt w:val="bullet"/>
      <w:lvlText w:val="•"/>
      <w:lvlJc w:val="left"/>
      <w:pPr>
        <w:ind w:left="4383" w:hanging="567"/>
      </w:pPr>
      <w:rPr>
        <w:rFonts w:hint="default"/>
        <w:lang w:val="en-US" w:eastAsia="en-US" w:bidi="en-US"/>
      </w:rPr>
    </w:lvl>
    <w:lvl w:ilvl="4" w:tplc="06148FA6">
      <w:numFmt w:val="bullet"/>
      <w:lvlText w:val="•"/>
      <w:lvlJc w:val="left"/>
      <w:pPr>
        <w:ind w:left="5406" w:hanging="567"/>
      </w:pPr>
      <w:rPr>
        <w:rFonts w:hint="default"/>
        <w:lang w:val="en-US" w:eastAsia="en-US" w:bidi="en-US"/>
      </w:rPr>
    </w:lvl>
    <w:lvl w:ilvl="5" w:tplc="4D262F58">
      <w:numFmt w:val="bullet"/>
      <w:lvlText w:val="•"/>
      <w:lvlJc w:val="left"/>
      <w:pPr>
        <w:ind w:left="6429" w:hanging="567"/>
      </w:pPr>
      <w:rPr>
        <w:rFonts w:hint="default"/>
        <w:lang w:val="en-US" w:eastAsia="en-US" w:bidi="en-US"/>
      </w:rPr>
    </w:lvl>
    <w:lvl w:ilvl="6" w:tplc="B8F40CA8">
      <w:numFmt w:val="bullet"/>
      <w:lvlText w:val="•"/>
      <w:lvlJc w:val="left"/>
      <w:pPr>
        <w:ind w:left="7453" w:hanging="567"/>
      </w:pPr>
      <w:rPr>
        <w:rFonts w:hint="default"/>
        <w:lang w:val="en-US" w:eastAsia="en-US" w:bidi="en-US"/>
      </w:rPr>
    </w:lvl>
    <w:lvl w:ilvl="7" w:tplc="E9702112">
      <w:numFmt w:val="bullet"/>
      <w:lvlText w:val="•"/>
      <w:lvlJc w:val="left"/>
      <w:pPr>
        <w:ind w:left="8476" w:hanging="567"/>
      </w:pPr>
      <w:rPr>
        <w:rFonts w:hint="default"/>
        <w:lang w:val="en-US" w:eastAsia="en-US" w:bidi="en-US"/>
      </w:rPr>
    </w:lvl>
    <w:lvl w:ilvl="8" w:tplc="F186272C">
      <w:numFmt w:val="bullet"/>
      <w:lvlText w:val="•"/>
      <w:lvlJc w:val="left"/>
      <w:pPr>
        <w:ind w:left="9499" w:hanging="567"/>
      </w:pPr>
      <w:rPr>
        <w:rFonts w:hint="default"/>
        <w:lang w:val="en-US" w:eastAsia="en-US" w:bidi="en-US"/>
      </w:rPr>
    </w:lvl>
  </w:abstractNum>
  <w:abstractNum w:abstractNumId="1">
    <w:nsid w:val="676E2134"/>
    <w:multiLevelType w:val="hybridMultilevel"/>
    <w:tmpl w:val="F20A2994"/>
    <w:lvl w:ilvl="0" w:tplc="9A4AA440">
      <w:start w:val="1"/>
      <w:numFmt w:val="decimal"/>
      <w:lvlText w:val="%1-"/>
      <w:lvlJc w:val="left"/>
      <w:pPr>
        <w:ind w:left="1236" w:hanging="284"/>
      </w:pPr>
      <w:rPr>
        <w:rFonts w:ascii="Tahoma" w:eastAsia="Tahoma" w:hAnsi="Tahoma" w:cs="Tahoma" w:hint="default"/>
        <w:b/>
        <w:bCs/>
        <w:w w:val="99"/>
        <w:sz w:val="20"/>
        <w:szCs w:val="20"/>
        <w:lang w:val="en-US" w:eastAsia="en-US" w:bidi="en-US"/>
      </w:rPr>
    </w:lvl>
    <w:lvl w:ilvl="1" w:tplc="D54ECFD6">
      <w:numFmt w:val="bullet"/>
      <w:lvlText w:val=""/>
      <w:lvlJc w:val="left"/>
      <w:pPr>
        <w:ind w:left="1946" w:hanging="28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F36E7590">
      <w:numFmt w:val="bullet"/>
      <w:lvlText w:val="o"/>
      <w:lvlJc w:val="left"/>
      <w:pPr>
        <w:ind w:left="3362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3" w:tplc="9DD697A4">
      <w:numFmt w:val="bullet"/>
      <w:lvlText w:val="•"/>
      <w:lvlJc w:val="left"/>
      <w:pPr>
        <w:ind w:left="4383" w:hanging="567"/>
      </w:pPr>
      <w:rPr>
        <w:rFonts w:hint="default"/>
        <w:lang w:val="en-US" w:eastAsia="en-US" w:bidi="en-US"/>
      </w:rPr>
    </w:lvl>
    <w:lvl w:ilvl="4" w:tplc="06148FA6">
      <w:numFmt w:val="bullet"/>
      <w:lvlText w:val="•"/>
      <w:lvlJc w:val="left"/>
      <w:pPr>
        <w:ind w:left="5406" w:hanging="567"/>
      </w:pPr>
      <w:rPr>
        <w:rFonts w:hint="default"/>
        <w:lang w:val="en-US" w:eastAsia="en-US" w:bidi="en-US"/>
      </w:rPr>
    </w:lvl>
    <w:lvl w:ilvl="5" w:tplc="4D262F58">
      <w:numFmt w:val="bullet"/>
      <w:lvlText w:val="•"/>
      <w:lvlJc w:val="left"/>
      <w:pPr>
        <w:ind w:left="6429" w:hanging="567"/>
      </w:pPr>
      <w:rPr>
        <w:rFonts w:hint="default"/>
        <w:lang w:val="en-US" w:eastAsia="en-US" w:bidi="en-US"/>
      </w:rPr>
    </w:lvl>
    <w:lvl w:ilvl="6" w:tplc="B8F40CA8">
      <w:numFmt w:val="bullet"/>
      <w:lvlText w:val="•"/>
      <w:lvlJc w:val="left"/>
      <w:pPr>
        <w:ind w:left="7453" w:hanging="567"/>
      </w:pPr>
      <w:rPr>
        <w:rFonts w:hint="default"/>
        <w:lang w:val="en-US" w:eastAsia="en-US" w:bidi="en-US"/>
      </w:rPr>
    </w:lvl>
    <w:lvl w:ilvl="7" w:tplc="E9702112">
      <w:numFmt w:val="bullet"/>
      <w:lvlText w:val="•"/>
      <w:lvlJc w:val="left"/>
      <w:pPr>
        <w:ind w:left="8476" w:hanging="567"/>
      </w:pPr>
      <w:rPr>
        <w:rFonts w:hint="default"/>
        <w:lang w:val="en-US" w:eastAsia="en-US" w:bidi="en-US"/>
      </w:rPr>
    </w:lvl>
    <w:lvl w:ilvl="8" w:tplc="F186272C">
      <w:numFmt w:val="bullet"/>
      <w:lvlText w:val="•"/>
      <w:lvlJc w:val="left"/>
      <w:pPr>
        <w:ind w:left="9499" w:hanging="56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31CA9"/>
    <w:rsid w:val="00676CC5"/>
    <w:rsid w:val="00A31CA9"/>
    <w:rsid w:val="00B42DA6"/>
    <w:rsid w:val="00F32D71"/>
    <w:rsid w:val="00F3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1CA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A31CA9"/>
  </w:style>
  <w:style w:type="character" w:customStyle="1" w:styleId="CorpsdetexteCar">
    <w:name w:val="Corps de texte Car"/>
    <w:basedOn w:val="Policepardfaut"/>
    <w:link w:val="Corpsdetexte"/>
    <w:uiPriority w:val="1"/>
    <w:rsid w:val="00A31CA9"/>
    <w:rPr>
      <w:rFonts w:ascii="Tahoma" w:eastAsia="Tahoma" w:hAnsi="Tahoma" w:cs="Tahoma"/>
      <w:lang w:val="en-US" w:bidi="en-US"/>
    </w:rPr>
  </w:style>
  <w:style w:type="paragraph" w:customStyle="1" w:styleId="Titre11">
    <w:name w:val="Titre 11"/>
    <w:basedOn w:val="Normal"/>
    <w:uiPriority w:val="1"/>
    <w:qFormat/>
    <w:rsid w:val="00A31CA9"/>
    <w:pPr>
      <w:ind w:left="1895"/>
      <w:outlineLvl w:val="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A31CA9"/>
    <w:pPr>
      <w:ind w:left="1946" w:hanging="28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</dc:creator>
  <cp:lastModifiedBy>dalila</cp:lastModifiedBy>
  <cp:revision>2</cp:revision>
  <dcterms:created xsi:type="dcterms:W3CDTF">2022-07-08T10:32:00Z</dcterms:created>
  <dcterms:modified xsi:type="dcterms:W3CDTF">2022-07-08T10:33:00Z</dcterms:modified>
</cp:coreProperties>
</file>