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</w:rPr>
        <w:t>وزارة التربية</w:t>
      </w:r>
    </w:p>
    <w:p>
      <w:pPr>
        <w:bidi/>
        <w:spacing w:line="240" w:lineRule="auto"/>
        <w:jc w:val="center"/>
        <w:rPr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المندوبية الجهوية للتربية تونس </w:t>
      </w:r>
      <w:r>
        <w:rPr>
          <w:rFonts w:hint="cs"/>
          <w:b/>
          <w:bCs/>
          <w:sz w:val="32"/>
          <w:szCs w:val="32"/>
          <w:rtl/>
          <w:lang w:val="en-US" w:bidi="ar-TN"/>
        </w:rPr>
        <w:t>2</w:t>
      </w:r>
    </w:p>
    <w:p>
      <w:pPr>
        <w:bidi/>
        <w:spacing w:line="240" w:lineRule="auto"/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</w:rPr>
        <w:t>إعلان طلب عروض وطني عــــدد</w:t>
      </w:r>
      <w:r>
        <w:rPr>
          <w:b/>
          <w:bCs/>
          <w:sz w:val="32"/>
          <w:szCs w:val="32"/>
          <w:lang w:bidi="ar-TN"/>
        </w:rPr>
        <w:t xml:space="preserve">16/2022 </w:t>
      </w:r>
    </w:p>
    <w:p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</w:rPr>
        <w:t xml:space="preserve">مشروع توسعة المؤسسات التربوية بتونس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2 </w:t>
      </w:r>
      <w:r>
        <w:rPr>
          <w:rFonts w:hint="cs"/>
          <w:b/>
          <w:bCs/>
          <w:sz w:val="32"/>
          <w:szCs w:val="32"/>
          <w:rtl/>
        </w:rPr>
        <w:t xml:space="preserve">برنامج </w:t>
      </w:r>
      <w:r>
        <w:rPr>
          <w:b/>
          <w:bCs/>
          <w:sz w:val="32"/>
          <w:szCs w:val="32"/>
          <w:lang w:bidi="ar-TN"/>
        </w:rPr>
        <w:t>2022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>
      <w:pPr>
        <w:bidi/>
        <w:spacing w:line="240" w:lineRule="auto"/>
        <w:jc w:val="both"/>
        <w:rPr>
          <w:rFonts w:asciiTheme="minorBidi" w:hAnsiTheme="minorBidi"/>
          <w:sz w:val="32"/>
          <w:szCs w:val="32"/>
          <w:lang w:val="en-US" w:bidi="ar-TN"/>
        </w:rPr>
      </w:pPr>
      <w:r>
        <w:rPr>
          <w:rFonts w:asciiTheme="minorBidi" w:hAnsiTheme="minorBidi"/>
          <w:sz w:val="32"/>
          <w:szCs w:val="32"/>
          <w:rtl/>
        </w:rPr>
        <w:t xml:space="preserve">يعتزم السيد المندوب الجهوي للتربية تونس </w:t>
      </w:r>
      <w:r>
        <w:rPr>
          <w:rFonts w:asciiTheme="minorBidi" w:hAnsiTheme="minorBidi"/>
          <w:sz w:val="32"/>
          <w:szCs w:val="32"/>
          <w:rtl/>
          <w:lang w:bidi="ar-TN"/>
        </w:rPr>
        <w:t>2</w:t>
      </w:r>
      <w:r>
        <w:rPr>
          <w:rFonts w:asciiTheme="minorBidi" w:hAnsiTheme="minorBidi"/>
          <w:sz w:val="32"/>
          <w:szCs w:val="32"/>
          <w:rtl/>
        </w:rPr>
        <w:t xml:space="preserve">إجراء طلب عروض يتعلق </w:t>
      </w:r>
      <w:r>
        <w:rPr>
          <w:rFonts w:hint="cs" w:asciiTheme="minorBidi" w:hAnsiTheme="minorBidi"/>
          <w:sz w:val="32"/>
          <w:szCs w:val="32"/>
          <w:rtl/>
        </w:rPr>
        <w:t>بأشغال</w:t>
      </w:r>
      <w:r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ت</w:t>
      </w:r>
      <w:r>
        <w:rPr>
          <w:rFonts w:hint="cs" w:asciiTheme="minorBidi" w:hAnsiTheme="minorBidi"/>
          <w:sz w:val="32"/>
          <w:szCs w:val="32"/>
          <w:rtl/>
        </w:rPr>
        <w:t>وسعة</w:t>
      </w:r>
      <w:r>
        <w:rPr>
          <w:rFonts w:asciiTheme="minorBidi" w:hAnsiTheme="minorBidi"/>
          <w:sz w:val="32"/>
          <w:szCs w:val="32"/>
          <w:lang w:bidi="ar-TN"/>
        </w:rPr>
        <w:t xml:space="preserve"> </w:t>
      </w:r>
      <w:r>
        <w:rPr>
          <w:rFonts w:asciiTheme="minorBidi" w:hAnsiTheme="minorBidi"/>
          <w:sz w:val="32"/>
          <w:szCs w:val="32"/>
          <w:rtl/>
          <w:lang w:val="en-US"/>
        </w:rPr>
        <w:t xml:space="preserve">بعض المؤسسات التربوية برنامج </w:t>
      </w:r>
      <w:r>
        <w:rPr>
          <w:rFonts w:asciiTheme="minorBidi" w:hAnsiTheme="minorBidi"/>
          <w:sz w:val="32"/>
          <w:szCs w:val="32"/>
          <w:lang w:val="en-US" w:bidi="ar-TN"/>
        </w:rPr>
        <w:t>2022</w:t>
      </w:r>
      <w:r>
        <w:rPr>
          <w:rFonts w:asciiTheme="minorBidi" w:hAnsiTheme="minorBidi"/>
          <w:sz w:val="32"/>
          <w:szCs w:val="32"/>
          <w:rtl/>
          <w:lang w:val="en-US"/>
        </w:rPr>
        <w:t xml:space="preserve">، </w:t>
      </w:r>
      <w:r>
        <w:rPr>
          <w:rFonts w:hint="cs" w:asciiTheme="minorBidi" w:hAnsiTheme="minorBidi"/>
          <w:sz w:val="32"/>
          <w:szCs w:val="32"/>
          <w:rtl/>
        </w:rPr>
        <w:t>موجه</w:t>
      </w:r>
      <w:r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hint="cs" w:asciiTheme="minorBidi" w:hAnsiTheme="minorBidi"/>
          <w:sz w:val="32"/>
          <w:szCs w:val="32"/>
          <w:rtl/>
        </w:rPr>
        <w:t>ل</w:t>
      </w:r>
      <w:r>
        <w:rPr>
          <w:rFonts w:asciiTheme="minorBidi" w:hAnsiTheme="minorBidi"/>
          <w:sz w:val="32"/>
          <w:szCs w:val="32"/>
          <w:rtl/>
        </w:rPr>
        <w:t xml:space="preserve">لمقاولين المرخص لهم من طرف وزارة التجهيز </w:t>
      </w:r>
      <w:r>
        <w:rPr>
          <w:rFonts w:hint="cs" w:asciiTheme="minorBidi" w:hAnsiTheme="minorBidi"/>
          <w:sz w:val="32"/>
          <w:szCs w:val="32"/>
          <w:rtl/>
        </w:rPr>
        <w:t>والإسكان والتهيئة الترابية</w:t>
      </w:r>
      <w:r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 xml:space="preserve">في الاختصاص ب </w:t>
      </w:r>
      <w:r>
        <w:rPr>
          <w:rFonts w:asciiTheme="minorBidi" w:hAnsiTheme="minorBidi"/>
          <w:sz w:val="32"/>
          <w:szCs w:val="32"/>
          <w:rtl/>
          <w:lang w:bidi="ar-TN"/>
        </w:rPr>
        <w:t xml:space="preserve">0 </w:t>
      </w:r>
      <w:r>
        <w:rPr>
          <w:rFonts w:asciiTheme="minorBidi" w:hAnsiTheme="minorBidi"/>
          <w:sz w:val="32"/>
          <w:szCs w:val="32"/>
          <w:rtl/>
        </w:rPr>
        <w:t xml:space="preserve">صنف </w:t>
      </w:r>
      <w:r>
        <w:rPr>
          <w:rFonts w:hint="cs" w:asciiTheme="minorBidi" w:hAnsiTheme="minorBidi"/>
          <w:sz w:val="32"/>
          <w:szCs w:val="32"/>
          <w:rtl/>
          <w:lang w:bidi="ar-TN"/>
        </w:rPr>
        <w:t>1</w:t>
      </w:r>
      <w:r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أو أكثر</w:t>
      </w:r>
      <w:r>
        <w:rPr>
          <w:rFonts w:hint="cs"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hint="cs" w:asciiTheme="minorBidi" w:hAnsiTheme="minorBidi"/>
          <w:sz w:val="32"/>
          <w:szCs w:val="32"/>
          <w:rtl/>
        </w:rPr>
        <w:t>مفصل كالاتي</w:t>
      </w:r>
      <w:r>
        <w:rPr>
          <w:rFonts w:hint="cs" w:asciiTheme="minorBidi" w:hAnsiTheme="minorBidi"/>
          <w:sz w:val="32"/>
          <w:szCs w:val="32"/>
          <w:rtl/>
          <w:lang w:bidi="ar-TN"/>
        </w:rPr>
        <w:t>:</w:t>
      </w:r>
    </w:p>
    <w:p>
      <w:pPr>
        <w:bidi/>
        <w:spacing w:line="240" w:lineRule="auto"/>
        <w:jc w:val="center"/>
        <w:rPr>
          <w:rFonts w:ascii="Calibri" w:hAnsi="Calibri" w:cs="Arial"/>
          <w:b/>
          <w:bCs/>
          <w:sz w:val="28"/>
          <w:szCs w:val="28"/>
          <w:rtl/>
          <w:lang w:bidi="ar-TN"/>
        </w:rPr>
      </w:pPr>
      <w:bookmarkStart w:id="0" w:name="_GoBack"/>
      <w:r>
        <w:rPr>
          <w:rFonts w:hint="cs" w:ascii="Calibri" w:hAnsi="Calibri" w:cs="Arial"/>
          <w:b/>
          <w:bCs/>
          <w:sz w:val="28"/>
          <w:szCs w:val="28"/>
          <w:rtl/>
        </w:rPr>
        <w:t>أشغال توسعة المدرسة الإعدادية فطومة بورقيبة</w:t>
      </w:r>
    </w:p>
    <w:bookmarkEnd w:id="0"/>
    <w:tbl>
      <w:tblPr>
        <w:tblStyle w:val="7"/>
        <w:tblpPr w:leftFromText="141" w:rightFromText="141" w:vertAnchor="text" w:horzAnchor="margin" w:tblpY="199"/>
        <w:bidiVisual/>
        <w:tblW w:w="104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11"/>
        <w:gridCol w:w="2410"/>
        <w:gridCol w:w="1842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4" w:type="dxa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القسط</w:t>
            </w:r>
          </w:p>
        </w:tc>
        <w:tc>
          <w:tcPr>
            <w:tcW w:w="4111" w:type="dxa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المؤسسات التربوية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الأشغال المزمع انجازها</w:t>
            </w:r>
          </w:p>
        </w:tc>
        <w:tc>
          <w:tcPr>
            <w:tcW w:w="1842" w:type="dxa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الضمان المالي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دينار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مدة الانجاز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3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4111" w:type="dxa"/>
          </w:tcPr>
          <w:p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TN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 w:ascii="Calibri" w:hAnsi="Calibri" w:cs="Arial"/>
                <w:b/>
                <w:bCs/>
                <w:sz w:val="24"/>
                <w:szCs w:val="24"/>
                <w:rtl/>
              </w:rPr>
              <w:t>المدرسة الإعدادية فطومة بورقيبة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 w:ascii="Calibri" w:hAnsi="Calibri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lang w:bidi="ar-TN"/>
              </w:rPr>
            </w:pPr>
          </w:p>
        </w:tc>
        <w:tc>
          <w:tcPr>
            <w:tcW w:w="2410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Calibri" w:hAnsi="Calibri" w:cs="Arial"/>
                <w:sz w:val="28"/>
                <w:szCs w:val="28"/>
                <w:lang w:bidi="ar-TN"/>
              </w:rPr>
            </w:pPr>
            <w:r>
              <w:rPr>
                <w:rFonts w:hint="cs" w:ascii="Calibri" w:hAnsi="Calibri" w:cs="Arial"/>
                <w:sz w:val="28"/>
                <w:szCs w:val="28"/>
                <w:rtl/>
              </w:rPr>
              <w:t>بناء مركبات صحية و قاعة عادية</w:t>
            </w:r>
          </w:p>
        </w:tc>
        <w:tc>
          <w:tcPr>
            <w:tcW w:w="1842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1800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150</w:t>
            </w:r>
          </w:p>
        </w:tc>
      </w:tr>
    </w:tbl>
    <w:p>
      <w:pPr>
        <w:bidi/>
        <w:spacing w:line="240" w:lineRule="auto"/>
        <w:rPr>
          <w:rFonts w:ascii="Calibri" w:hAnsi="Calibri" w:cs="Arial"/>
          <w:b/>
          <w:bCs/>
          <w:sz w:val="28"/>
          <w:szCs w:val="28"/>
          <w:rtl/>
          <w:lang w:bidi="ar-TN"/>
        </w:rPr>
      </w:pPr>
    </w:p>
    <w:p>
      <w:pPr>
        <w:pStyle w:val="8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</w:rPr>
        <w:t xml:space="preserve">فعلى الراغبين في المشاركة في طلب العروض التسجيل على منظومة الشراءات العمومية على الخط </w:t>
      </w:r>
      <w:r>
        <w:rPr>
          <w:sz w:val="32"/>
          <w:szCs w:val="32"/>
          <w:lang w:bidi="ar-TN"/>
        </w:rPr>
        <w:t>(TUNEPS)</w:t>
      </w:r>
    </w:p>
    <w:p>
      <w:pPr>
        <w:pStyle w:val="8"/>
        <w:numPr>
          <w:ilvl w:val="0"/>
          <w:numId w:val="1"/>
        </w:num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لمزيد من الإرشادات الاتصال على الرقم </w:t>
      </w:r>
      <w:r>
        <w:rPr>
          <w:rFonts w:hint="cs"/>
          <w:sz w:val="32"/>
          <w:szCs w:val="32"/>
          <w:rtl/>
          <w:lang w:bidi="ar-TN"/>
        </w:rPr>
        <w:t xml:space="preserve">71566364 </w:t>
      </w:r>
      <w:r>
        <w:rPr>
          <w:rFonts w:hint="cs"/>
          <w:sz w:val="32"/>
          <w:szCs w:val="32"/>
          <w:rtl/>
        </w:rPr>
        <w:t xml:space="preserve">أو عبر البريد الإلكتروني </w:t>
      </w:r>
      <w:r>
        <w:fldChar w:fldCharType="begin"/>
      </w:r>
      <w:r>
        <w:instrText xml:space="preserve"> HYPERLINK "mailto:tuneps@pm.gov.tn" </w:instrText>
      </w:r>
      <w:r>
        <w:fldChar w:fldCharType="separate"/>
      </w:r>
      <w:r>
        <w:rPr>
          <w:rStyle w:val="3"/>
          <w:sz w:val="32"/>
          <w:szCs w:val="32"/>
          <w:lang w:bidi="ar-TN"/>
        </w:rPr>
        <w:t>tuneps@pm.gov.tn</w:t>
      </w:r>
      <w:r>
        <w:rPr>
          <w:rStyle w:val="3"/>
          <w:sz w:val="32"/>
          <w:szCs w:val="32"/>
          <w:lang w:bidi="ar-TN"/>
        </w:rPr>
        <w:fldChar w:fldCharType="end"/>
      </w: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</w:rPr>
        <w:t>أو الاتصال مباشرة بالهيئة العليا للطلب العمومي،</w:t>
      </w:r>
    </w:p>
    <w:p>
      <w:pPr>
        <w:pStyle w:val="8"/>
        <w:numPr>
          <w:ilvl w:val="0"/>
          <w:numId w:val="1"/>
        </w:num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لا يمكن المشاركة إلا عن طريق منظومة الشراءات العمومية على الخط </w:t>
      </w:r>
      <w:r>
        <w:rPr>
          <w:sz w:val="32"/>
          <w:szCs w:val="32"/>
          <w:lang w:bidi="ar-TN"/>
        </w:rPr>
        <w:t>TUNEPS</w:t>
      </w:r>
      <w:r>
        <w:rPr>
          <w:rFonts w:hint="cs"/>
          <w:sz w:val="32"/>
          <w:szCs w:val="32"/>
          <w:rtl/>
        </w:rPr>
        <w:t xml:space="preserve">ولا يمكن قبول العروض مباشرة أو خارج الخط عدا الضمان الوقتي حيث يمكن لكل مشارك إيداعه عن طريق البريد أو بمكتب الضبط </w:t>
      </w:r>
      <w:r>
        <w:rPr>
          <w:rFonts w:hint="cs"/>
          <w:sz w:val="32"/>
          <w:szCs w:val="32"/>
          <w:rtl/>
          <w:lang w:bidi="ar-TN"/>
        </w:rPr>
        <w:t>(</w:t>
      </w:r>
      <w:r>
        <w:rPr>
          <w:rFonts w:hint="cs"/>
          <w:sz w:val="32"/>
          <w:szCs w:val="32"/>
          <w:rtl/>
        </w:rPr>
        <w:t>ختم مكتب الضبط يثبت تاريخ القبول</w:t>
      </w:r>
      <w:r>
        <w:rPr>
          <w:rFonts w:hint="cs"/>
          <w:sz w:val="32"/>
          <w:szCs w:val="32"/>
          <w:rtl/>
          <w:lang w:bidi="ar-TN"/>
        </w:rPr>
        <w:t xml:space="preserve">) </w:t>
      </w:r>
      <w:r>
        <w:rPr>
          <w:rFonts w:hint="cs"/>
          <w:sz w:val="32"/>
          <w:szCs w:val="32"/>
          <w:rtl/>
        </w:rPr>
        <w:t xml:space="preserve">في ظرف مغلق ويجب أن يحمل الظرف وجوبا عبارة </w:t>
      </w:r>
      <w:r>
        <w:rPr>
          <w:rFonts w:hint="cs"/>
          <w:sz w:val="32"/>
          <w:szCs w:val="32"/>
          <w:rtl/>
          <w:lang w:bidi="ar-TN"/>
        </w:rPr>
        <w:t>"</w:t>
      </w:r>
      <w:r>
        <w:rPr>
          <w:rFonts w:hint="cs"/>
          <w:sz w:val="32"/>
          <w:szCs w:val="32"/>
          <w:rtl/>
        </w:rPr>
        <w:t xml:space="preserve">لا يفتح طلب عروض وطني عدد </w:t>
      </w:r>
      <w:r>
        <w:rPr>
          <w:sz w:val="32"/>
          <w:szCs w:val="32"/>
          <w:lang w:bidi="ar-TN"/>
        </w:rPr>
        <w:t>16</w:t>
      </w:r>
      <w:r>
        <w:rPr>
          <w:rFonts w:hint="cs"/>
          <w:sz w:val="32"/>
          <w:szCs w:val="32"/>
          <w:rtl/>
          <w:lang w:bidi="ar-TN"/>
        </w:rPr>
        <w:t xml:space="preserve">/2022 </w:t>
      </w:r>
      <w:r>
        <w:rPr>
          <w:rFonts w:hint="eastAsia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</w:rPr>
        <w:t>وثيقة الضمان الوقتي ـ</w:t>
      </w:r>
      <w:r>
        <w:rPr>
          <w:rFonts w:hint="cs"/>
          <w:sz w:val="32"/>
          <w:szCs w:val="32"/>
          <w:rtl/>
          <w:lang w:bidi="ar-TN"/>
        </w:rPr>
        <w:t>"</w:t>
      </w:r>
    </w:p>
    <w:p>
      <w:pPr>
        <w:pStyle w:val="8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</w:rPr>
        <w:t>مقابل وصل إيداع على العنوان التالي</w:t>
      </w:r>
      <w:r>
        <w:rPr>
          <w:rFonts w:hint="cs"/>
          <w:sz w:val="32"/>
          <w:szCs w:val="32"/>
          <w:rtl/>
          <w:lang w:bidi="ar-TN"/>
        </w:rPr>
        <w:t>:</w:t>
      </w:r>
    </w:p>
    <w:p>
      <w:pPr>
        <w:pStyle w:val="8"/>
        <w:bidi/>
        <w:ind w:left="927"/>
        <w:rPr>
          <w:sz w:val="32"/>
          <w:szCs w:val="32"/>
          <w:rtl/>
          <w:lang w:bidi="ar-TN"/>
        </w:rPr>
      </w:pPr>
    </w:p>
    <w:p>
      <w:pPr>
        <w:pStyle w:val="8"/>
        <w:bidi/>
        <w:ind w:left="927"/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</w:rPr>
        <w:t xml:space="preserve">المندوبية الجهوية للتربية تونس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2 </w:t>
      </w:r>
      <w:r>
        <w:rPr>
          <w:rFonts w:hint="cs"/>
          <w:b/>
          <w:bCs/>
          <w:sz w:val="36"/>
          <w:szCs w:val="36"/>
          <w:rtl/>
        </w:rPr>
        <w:t xml:space="preserve">نهج الصادقية خزندار </w:t>
      </w:r>
      <w:r>
        <w:rPr>
          <w:rFonts w:hint="cs"/>
          <w:b/>
          <w:bCs/>
          <w:sz w:val="36"/>
          <w:szCs w:val="36"/>
          <w:rtl/>
          <w:lang w:bidi="ar-TN"/>
        </w:rPr>
        <w:t>2017</w:t>
      </w:r>
    </w:p>
    <w:p>
      <w:pPr>
        <w:pStyle w:val="8"/>
        <w:bidi/>
        <w:ind w:left="927"/>
        <w:jc w:val="center"/>
        <w:rPr>
          <w:sz w:val="32"/>
          <w:szCs w:val="32"/>
          <w:rtl/>
          <w:lang w:bidi="ar-TN"/>
        </w:rPr>
      </w:pPr>
    </w:p>
    <w:p>
      <w:pPr>
        <w:pStyle w:val="8"/>
        <w:numPr>
          <w:ilvl w:val="0"/>
          <w:numId w:val="1"/>
        </w:num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حدد آخر أجل لقبول العروض يوم الجمعة </w:t>
      </w:r>
      <w:r>
        <w:rPr>
          <w:rFonts w:hint="cs"/>
          <w:sz w:val="32"/>
          <w:szCs w:val="32"/>
          <w:rtl/>
          <w:lang w:bidi="ar-TN"/>
        </w:rPr>
        <w:t xml:space="preserve">06 </w:t>
      </w:r>
      <w:r>
        <w:rPr>
          <w:rFonts w:hint="cs"/>
          <w:sz w:val="32"/>
          <w:szCs w:val="32"/>
          <w:rtl/>
        </w:rPr>
        <w:t xml:space="preserve">ماي </w:t>
      </w:r>
      <w:r>
        <w:rPr>
          <w:rFonts w:hint="cs"/>
          <w:sz w:val="32"/>
          <w:szCs w:val="32"/>
          <w:rtl/>
          <w:lang w:bidi="ar-TN"/>
        </w:rPr>
        <w:t xml:space="preserve">2022 </w:t>
      </w:r>
      <w:r>
        <w:rPr>
          <w:rFonts w:hint="cs"/>
          <w:sz w:val="32"/>
          <w:szCs w:val="32"/>
          <w:rtl/>
        </w:rPr>
        <w:t>على الساعة العاشرة صباحا</w:t>
      </w:r>
      <w:r>
        <w:rPr>
          <w:rFonts w:hint="cs"/>
          <w:sz w:val="32"/>
          <w:szCs w:val="32"/>
          <w:rtl/>
          <w:lang w:bidi="ar-TN"/>
        </w:rPr>
        <w:t>.</w:t>
      </w:r>
    </w:p>
    <w:p>
      <w:pPr>
        <w:pStyle w:val="8"/>
        <w:numPr>
          <w:ilvl w:val="0"/>
          <w:numId w:val="1"/>
        </w:num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تجتمع لجنة فتح العروض وذلك في جلسة علنية عن طريق منظومة الشراءات العمومية على الخط </w:t>
      </w:r>
      <w:r>
        <w:rPr>
          <w:sz w:val="32"/>
          <w:szCs w:val="32"/>
          <w:lang w:bidi="ar-TN"/>
        </w:rPr>
        <w:t>TUNEPS</w:t>
      </w: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</w:rPr>
        <w:t xml:space="preserve">يوم الجمعة </w:t>
      </w:r>
      <w:r>
        <w:rPr>
          <w:rFonts w:hint="cs"/>
          <w:sz w:val="32"/>
          <w:szCs w:val="32"/>
          <w:rtl/>
          <w:lang w:bidi="ar-TN"/>
        </w:rPr>
        <w:t xml:space="preserve">06 </w:t>
      </w:r>
      <w:r>
        <w:rPr>
          <w:rFonts w:hint="cs"/>
          <w:sz w:val="32"/>
          <w:szCs w:val="32"/>
          <w:rtl/>
        </w:rPr>
        <w:t xml:space="preserve">ماي </w:t>
      </w:r>
      <w:r>
        <w:rPr>
          <w:rFonts w:hint="cs"/>
          <w:sz w:val="32"/>
          <w:szCs w:val="32"/>
          <w:rtl/>
          <w:lang w:bidi="ar-TN"/>
        </w:rPr>
        <w:t xml:space="preserve">2022 </w:t>
      </w:r>
      <w:r>
        <w:rPr>
          <w:rFonts w:hint="cs"/>
          <w:sz w:val="32"/>
          <w:szCs w:val="32"/>
          <w:rtl/>
        </w:rPr>
        <w:t xml:space="preserve">على الساعة العاشرة والنصف صباحا بمقر المندوبية الجهوية للتربية تونس </w:t>
      </w:r>
      <w:r>
        <w:rPr>
          <w:rFonts w:hint="cs"/>
          <w:sz w:val="32"/>
          <w:szCs w:val="32"/>
          <w:rtl/>
          <w:lang w:bidi="ar-TN"/>
        </w:rPr>
        <w:t>2</w:t>
      </w:r>
      <w:r>
        <w:rPr>
          <w:rFonts w:hint="cs" w:ascii="Calibri" w:hAnsi="Calibri" w:cs="Arial"/>
          <w:rtl/>
          <w:lang w:bidi="ar-TN"/>
        </w:rPr>
        <w:t>.</w:t>
      </w:r>
    </w:p>
    <w:sectPr>
      <w:pgSz w:w="11906" w:h="16838"/>
      <w:pgMar w:top="567" w:right="566" w:bottom="426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B4251"/>
    <w:multiLevelType w:val="multilevel"/>
    <w:tmpl w:val="08AB4251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26"/>
    <w:rsid w:val="00000B52"/>
    <w:rsid w:val="00020A45"/>
    <w:rsid w:val="00023D75"/>
    <w:rsid w:val="00024B15"/>
    <w:rsid w:val="00025B1A"/>
    <w:rsid w:val="00030628"/>
    <w:rsid w:val="0005513E"/>
    <w:rsid w:val="000644AF"/>
    <w:rsid w:val="00074934"/>
    <w:rsid w:val="0007568A"/>
    <w:rsid w:val="00083071"/>
    <w:rsid w:val="000A0DEF"/>
    <w:rsid w:val="000C0301"/>
    <w:rsid w:val="000C40DC"/>
    <w:rsid w:val="000C4BCA"/>
    <w:rsid w:val="000C4C7A"/>
    <w:rsid w:val="000E0501"/>
    <w:rsid w:val="000E086D"/>
    <w:rsid w:val="000E462C"/>
    <w:rsid w:val="000E472E"/>
    <w:rsid w:val="00106639"/>
    <w:rsid w:val="001124E4"/>
    <w:rsid w:val="001152BF"/>
    <w:rsid w:val="001158EC"/>
    <w:rsid w:val="00123AA3"/>
    <w:rsid w:val="00136AA4"/>
    <w:rsid w:val="001377F9"/>
    <w:rsid w:val="001539E2"/>
    <w:rsid w:val="00155093"/>
    <w:rsid w:val="00157695"/>
    <w:rsid w:val="00163C31"/>
    <w:rsid w:val="00164806"/>
    <w:rsid w:val="00181652"/>
    <w:rsid w:val="00184CB3"/>
    <w:rsid w:val="00191F2C"/>
    <w:rsid w:val="001A7852"/>
    <w:rsid w:val="001B23E7"/>
    <w:rsid w:val="001C49B8"/>
    <w:rsid w:val="001E1FAB"/>
    <w:rsid w:val="001E3230"/>
    <w:rsid w:val="001F0525"/>
    <w:rsid w:val="00224624"/>
    <w:rsid w:val="00230E24"/>
    <w:rsid w:val="00253180"/>
    <w:rsid w:val="00257870"/>
    <w:rsid w:val="00262190"/>
    <w:rsid w:val="0027232B"/>
    <w:rsid w:val="002723B9"/>
    <w:rsid w:val="00277EF8"/>
    <w:rsid w:val="0029188F"/>
    <w:rsid w:val="002A532C"/>
    <w:rsid w:val="002B2E87"/>
    <w:rsid w:val="002D2A6A"/>
    <w:rsid w:val="002D2D73"/>
    <w:rsid w:val="002F1D7F"/>
    <w:rsid w:val="002F41F7"/>
    <w:rsid w:val="00302B52"/>
    <w:rsid w:val="0030726F"/>
    <w:rsid w:val="00313788"/>
    <w:rsid w:val="00325020"/>
    <w:rsid w:val="003272D3"/>
    <w:rsid w:val="00330DA2"/>
    <w:rsid w:val="00344343"/>
    <w:rsid w:val="00354617"/>
    <w:rsid w:val="0036758F"/>
    <w:rsid w:val="00395DDB"/>
    <w:rsid w:val="00396CF4"/>
    <w:rsid w:val="003A0CE6"/>
    <w:rsid w:val="003A2782"/>
    <w:rsid w:val="003B27BB"/>
    <w:rsid w:val="003B3666"/>
    <w:rsid w:val="003B47E6"/>
    <w:rsid w:val="003B7067"/>
    <w:rsid w:val="003C0454"/>
    <w:rsid w:val="003C2F0B"/>
    <w:rsid w:val="003D16D0"/>
    <w:rsid w:val="003E6F8F"/>
    <w:rsid w:val="003F7850"/>
    <w:rsid w:val="00437CCA"/>
    <w:rsid w:val="0044119B"/>
    <w:rsid w:val="004443C2"/>
    <w:rsid w:val="00454043"/>
    <w:rsid w:val="004577E6"/>
    <w:rsid w:val="004859B9"/>
    <w:rsid w:val="00493646"/>
    <w:rsid w:val="00497A26"/>
    <w:rsid w:val="004A673E"/>
    <w:rsid w:val="004B2B90"/>
    <w:rsid w:val="004D0D6C"/>
    <w:rsid w:val="004D4469"/>
    <w:rsid w:val="004E0EC1"/>
    <w:rsid w:val="004F25E3"/>
    <w:rsid w:val="004F3D1E"/>
    <w:rsid w:val="004F52BC"/>
    <w:rsid w:val="004F6BCD"/>
    <w:rsid w:val="0051126C"/>
    <w:rsid w:val="0051341D"/>
    <w:rsid w:val="00515A36"/>
    <w:rsid w:val="00526F56"/>
    <w:rsid w:val="00527462"/>
    <w:rsid w:val="00536373"/>
    <w:rsid w:val="0054051F"/>
    <w:rsid w:val="0054762F"/>
    <w:rsid w:val="00576C28"/>
    <w:rsid w:val="00580E32"/>
    <w:rsid w:val="00586BF8"/>
    <w:rsid w:val="005A13F0"/>
    <w:rsid w:val="005A7817"/>
    <w:rsid w:val="005B20DF"/>
    <w:rsid w:val="005B3728"/>
    <w:rsid w:val="005B7683"/>
    <w:rsid w:val="005C0120"/>
    <w:rsid w:val="005E2299"/>
    <w:rsid w:val="005E6D23"/>
    <w:rsid w:val="005F563B"/>
    <w:rsid w:val="00600619"/>
    <w:rsid w:val="00611007"/>
    <w:rsid w:val="00622EAE"/>
    <w:rsid w:val="006231B0"/>
    <w:rsid w:val="0065434C"/>
    <w:rsid w:val="00656719"/>
    <w:rsid w:val="006573F1"/>
    <w:rsid w:val="00657DB2"/>
    <w:rsid w:val="00661B49"/>
    <w:rsid w:val="0066794A"/>
    <w:rsid w:val="00672E82"/>
    <w:rsid w:val="00681C6B"/>
    <w:rsid w:val="006A24F4"/>
    <w:rsid w:val="006B2ADA"/>
    <w:rsid w:val="006B6BE2"/>
    <w:rsid w:val="006C2B85"/>
    <w:rsid w:val="006D2753"/>
    <w:rsid w:val="006D693C"/>
    <w:rsid w:val="006E1714"/>
    <w:rsid w:val="006E1995"/>
    <w:rsid w:val="007144DD"/>
    <w:rsid w:val="00740F26"/>
    <w:rsid w:val="00742B8F"/>
    <w:rsid w:val="0075174A"/>
    <w:rsid w:val="0078131D"/>
    <w:rsid w:val="007B1B3F"/>
    <w:rsid w:val="007B3B0B"/>
    <w:rsid w:val="007B4E57"/>
    <w:rsid w:val="007C6EBC"/>
    <w:rsid w:val="007D1E3D"/>
    <w:rsid w:val="007E1008"/>
    <w:rsid w:val="00817AB5"/>
    <w:rsid w:val="00820740"/>
    <w:rsid w:val="0082369E"/>
    <w:rsid w:val="0082669B"/>
    <w:rsid w:val="00830F4A"/>
    <w:rsid w:val="00833BD5"/>
    <w:rsid w:val="00836EC8"/>
    <w:rsid w:val="00837CD0"/>
    <w:rsid w:val="008567D7"/>
    <w:rsid w:val="0086592B"/>
    <w:rsid w:val="00867427"/>
    <w:rsid w:val="008743D7"/>
    <w:rsid w:val="00874F89"/>
    <w:rsid w:val="008946AF"/>
    <w:rsid w:val="00897CDF"/>
    <w:rsid w:val="008A1887"/>
    <w:rsid w:val="008A4DF7"/>
    <w:rsid w:val="008C7746"/>
    <w:rsid w:val="008F2BE3"/>
    <w:rsid w:val="0090470A"/>
    <w:rsid w:val="009250DC"/>
    <w:rsid w:val="00927A3B"/>
    <w:rsid w:val="00927C4A"/>
    <w:rsid w:val="0093052A"/>
    <w:rsid w:val="009374A8"/>
    <w:rsid w:val="00971629"/>
    <w:rsid w:val="00977E14"/>
    <w:rsid w:val="00981FE1"/>
    <w:rsid w:val="009876CE"/>
    <w:rsid w:val="00991CF3"/>
    <w:rsid w:val="009D1CBC"/>
    <w:rsid w:val="009F3FE1"/>
    <w:rsid w:val="00A07EBD"/>
    <w:rsid w:val="00A169C7"/>
    <w:rsid w:val="00A55C49"/>
    <w:rsid w:val="00A65A01"/>
    <w:rsid w:val="00A82ACD"/>
    <w:rsid w:val="00A868AD"/>
    <w:rsid w:val="00A87363"/>
    <w:rsid w:val="00AA2F5B"/>
    <w:rsid w:val="00AA634C"/>
    <w:rsid w:val="00AD0CDF"/>
    <w:rsid w:val="00AE00A9"/>
    <w:rsid w:val="00AE2DDE"/>
    <w:rsid w:val="00AE3177"/>
    <w:rsid w:val="00AE547B"/>
    <w:rsid w:val="00B11EBE"/>
    <w:rsid w:val="00B150EF"/>
    <w:rsid w:val="00B204CA"/>
    <w:rsid w:val="00B22DD9"/>
    <w:rsid w:val="00B316B9"/>
    <w:rsid w:val="00B45E2F"/>
    <w:rsid w:val="00B52543"/>
    <w:rsid w:val="00B751C3"/>
    <w:rsid w:val="00B77E67"/>
    <w:rsid w:val="00B93DC8"/>
    <w:rsid w:val="00BA5D4E"/>
    <w:rsid w:val="00BB16BF"/>
    <w:rsid w:val="00BB6EDE"/>
    <w:rsid w:val="00BB6F69"/>
    <w:rsid w:val="00BC0E6C"/>
    <w:rsid w:val="00BF16ED"/>
    <w:rsid w:val="00C112F2"/>
    <w:rsid w:val="00C121A7"/>
    <w:rsid w:val="00C162B4"/>
    <w:rsid w:val="00C25849"/>
    <w:rsid w:val="00C357C3"/>
    <w:rsid w:val="00C42670"/>
    <w:rsid w:val="00C43ADC"/>
    <w:rsid w:val="00C44DC1"/>
    <w:rsid w:val="00C615E1"/>
    <w:rsid w:val="00C72802"/>
    <w:rsid w:val="00C80BA0"/>
    <w:rsid w:val="00C83498"/>
    <w:rsid w:val="00C952AF"/>
    <w:rsid w:val="00CA0859"/>
    <w:rsid w:val="00CC3E49"/>
    <w:rsid w:val="00CD5284"/>
    <w:rsid w:val="00CE1B71"/>
    <w:rsid w:val="00CE2F6E"/>
    <w:rsid w:val="00CF414C"/>
    <w:rsid w:val="00CF60DD"/>
    <w:rsid w:val="00D0382A"/>
    <w:rsid w:val="00D14996"/>
    <w:rsid w:val="00D15009"/>
    <w:rsid w:val="00D2121F"/>
    <w:rsid w:val="00D247D0"/>
    <w:rsid w:val="00D27A4A"/>
    <w:rsid w:val="00D3176F"/>
    <w:rsid w:val="00D62590"/>
    <w:rsid w:val="00D73642"/>
    <w:rsid w:val="00D778E9"/>
    <w:rsid w:val="00D923DF"/>
    <w:rsid w:val="00DA2F37"/>
    <w:rsid w:val="00DF1D17"/>
    <w:rsid w:val="00E04B90"/>
    <w:rsid w:val="00E2394B"/>
    <w:rsid w:val="00E50F10"/>
    <w:rsid w:val="00E600C8"/>
    <w:rsid w:val="00E739A2"/>
    <w:rsid w:val="00E74787"/>
    <w:rsid w:val="00E74DB1"/>
    <w:rsid w:val="00E91700"/>
    <w:rsid w:val="00EA23EA"/>
    <w:rsid w:val="00EA74B4"/>
    <w:rsid w:val="00ED4622"/>
    <w:rsid w:val="00EF13B4"/>
    <w:rsid w:val="00EF2C74"/>
    <w:rsid w:val="00EF5377"/>
    <w:rsid w:val="00F20FF9"/>
    <w:rsid w:val="00F661B5"/>
    <w:rsid w:val="00F94E2B"/>
    <w:rsid w:val="00FC343F"/>
    <w:rsid w:val="00FC4CE4"/>
    <w:rsid w:val="00FC65A8"/>
    <w:rsid w:val="00FD1E72"/>
    <w:rsid w:val="00FF4411"/>
    <w:rsid w:val="00FF48C7"/>
    <w:rsid w:val="45671C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9"/>
    <w:uiPriority w:val="0"/>
    <w:pPr>
      <w:bidi/>
      <w:spacing w:after="0" w:line="240" w:lineRule="auto"/>
    </w:pPr>
    <w:rPr>
      <w:rFonts w:ascii="Times New Roman" w:hAnsi="Times New Roman" w:eastAsia="Times New Roman" w:cs="Times New Roman"/>
      <w:sz w:val="32"/>
      <w:szCs w:val="32"/>
      <w:lang w:eastAsia="fr-FR" w:bidi="ar-TN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Corps de texte 2 Car"/>
    <w:basedOn w:val="2"/>
    <w:link w:val="5"/>
    <w:qFormat/>
    <w:uiPriority w:val="0"/>
    <w:rPr>
      <w:rFonts w:ascii="Times New Roman" w:hAnsi="Times New Roman" w:eastAsia="Times New Roman" w:cs="Times New Roman"/>
      <w:sz w:val="32"/>
      <w:szCs w:val="32"/>
      <w:lang w:eastAsia="fr-FR" w:bidi="ar-TN"/>
    </w:rPr>
  </w:style>
  <w:style w:type="character" w:customStyle="1" w:styleId="10">
    <w:name w:val="Texte de bulles C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819-9547-460B-A960-8D8493674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Sweet</Company>
  <Pages>1</Pages>
  <Words>243</Words>
  <Characters>1220</Characters>
  <Lines>10</Lines>
  <Paragraphs>3</Paragraphs>
  <TotalTime>7</TotalTime>
  <ScaleCrop>false</ScaleCrop>
  <LinksUpToDate>false</LinksUpToDate>
  <CharactersWithSpaces>1443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2022-04-21T09:00:00Z</dcterms:created>
  <dc:creator>nihed</dc:creator>
  <cp:lastModifiedBy>Admin</cp:lastModifiedBy>
  <cp:lastPrinted>2021-11-08T09:29:00Z</cp:lastPrinted>
  <dcterms:modified xsi:type="dcterms:W3CDTF">2022-04-22T15:39:54Z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1036-11.2.0.11074</vt:lpwstr>
  </property>
  <property fmtid="{D5CDD505-2E9C-101B-9397-08002B2CF9AE}" pid="3" name="ICV">
    <vt:lpwstr>61662834618B4DE1AB9637FE2334D758</vt:lpwstr>
  </property>
</Properties>
</file>