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D2" w:rsidRDefault="008236D2" w:rsidP="008236D2">
      <w:pPr>
        <w:ind w:right="6038"/>
        <w:jc w:val="center"/>
        <w:rPr>
          <w:b/>
          <w:bCs/>
          <w:sz w:val="16"/>
          <w:szCs w:val="16"/>
        </w:rPr>
      </w:pPr>
    </w:p>
    <w:p w:rsidR="008236D2" w:rsidRPr="009B3C26" w:rsidRDefault="008236D2" w:rsidP="009B3C26">
      <w:pPr>
        <w:jc w:val="center"/>
        <w:rPr>
          <w:b/>
          <w:bCs/>
          <w:sz w:val="30"/>
          <w:szCs w:val="30"/>
          <w:u w:val="single"/>
        </w:rPr>
      </w:pPr>
      <w:r w:rsidRPr="009B3C26">
        <w:rPr>
          <w:b/>
          <w:bCs/>
          <w:sz w:val="30"/>
          <w:szCs w:val="30"/>
          <w:u w:val="single"/>
        </w:rPr>
        <w:t>AVIS N°</w:t>
      </w:r>
      <w:r w:rsidR="009B3C26" w:rsidRPr="009B3C26">
        <w:rPr>
          <w:b/>
          <w:bCs/>
          <w:sz w:val="30"/>
          <w:szCs w:val="30"/>
          <w:u w:val="single"/>
        </w:rPr>
        <w:t xml:space="preserve"> 81</w:t>
      </w:r>
      <w:r w:rsidRPr="009B3C26">
        <w:rPr>
          <w:b/>
          <w:bCs/>
          <w:sz w:val="30"/>
          <w:szCs w:val="30"/>
          <w:u w:val="single"/>
        </w:rPr>
        <w:t>/2022</w:t>
      </w:r>
    </w:p>
    <w:p w:rsidR="008236D2" w:rsidRDefault="008236D2" w:rsidP="008236D2">
      <w:pPr>
        <w:jc w:val="center"/>
        <w:rPr>
          <w:b/>
          <w:bCs/>
          <w:sz w:val="12"/>
          <w:szCs w:val="12"/>
        </w:rPr>
      </w:pPr>
    </w:p>
    <w:p w:rsidR="008236D2" w:rsidRDefault="008236D2" w:rsidP="008236D2">
      <w:pPr>
        <w:jc w:val="center"/>
        <w:rPr>
          <w:b/>
          <w:bCs/>
          <w:sz w:val="31"/>
          <w:szCs w:val="31"/>
        </w:rPr>
      </w:pPr>
      <w:r>
        <w:rPr>
          <w:b/>
          <w:bCs/>
          <w:sz w:val="30"/>
          <w:szCs w:val="30"/>
        </w:rPr>
        <w:t xml:space="preserve">APPEL A </w:t>
      </w:r>
      <w:smartTag w:uri="urn:schemas-microsoft-com:office:smarttags" w:element="PersonName">
        <w:smartTagPr>
          <w:attr w:name="ProductID" w:val="la Candidature"/>
        </w:smartTagPr>
        <w:r>
          <w:rPr>
            <w:b/>
            <w:bCs/>
            <w:sz w:val="30"/>
            <w:szCs w:val="30"/>
          </w:rPr>
          <w:t>LA CANDIDATURE</w:t>
        </w:r>
      </w:smartTag>
    </w:p>
    <w:p w:rsidR="00E65285" w:rsidRPr="00E65285" w:rsidRDefault="008236D2" w:rsidP="00A75AAD">
      <w:pPr>
        <w:spacing w:after="120"/>
        <w:jc w:val="center"/>
        <w:rPr>
          <w:b/>
          <w:bCs/>
          <w:sz w:val="26"/>
          <w:szCs w:val="26"/>
          <w:lang w:bidi="ar-TN"/>
        </w:rPr>
      </w:pPr>
      <w:r>
        <w:rPr>
          <w:b/>
          <w:bCs/>
          <w:sz w:val="26"/>
          <w:szCs w:val="26"/>
        </w:rPr>
        <w:t xml:space="preserve">Pour le choix </w:t>
      </w:r>
      <w:r w:rsidR="00E65285" w:rsidRPr="00E65285">
        <w:rPr>
          <w:b/>
          <w:bCs/>
          <w:spacing w:val="12"/>
          <w:sz w:val="26"/>
          <w:szCs w:val="26"/>
        </w:rPr>
        <w:t xml:space="preserve">sur dossier d’un architecte ou d’un groupement d’Architectes pour l’élaboration des études architecturales, le suivi et le contrôle de l’exécution des travaux du </w:t>
      </w:r>
      <w:r w:rsidR="00E65285" w:rsidRPr="00E65285">
        <w:rPr>
          <w:b/>
          <w:bCs/>
          <w:sz w:val="26"/>
          <w:szCs w:val="26"/>
          <w:lang w:bidi="ar-TN"/>
        </w:rPr>
        <w:t>PROJET DE REAMENAGEMENT DES INSTALLATIONS DES BLOCS OPERATOIRES A L’HOPITAL MOHAMED TAHER MAAMOURI DE NABEUL</w:t>
      </w:r>
    </w:p>
    <w:p w:rsidR="008236D2" w:rsidRDefault="008236D2" w:rsidP="00E65285">
      <w:pPr>
        <w:jc w:val="center"/>
        <w:rPr>
          <w:b/>
          <w:bCs/>
          <w:sz w:val="28"/>
          <w:szCs w:val="28"/>
          <w:u w:val="single"/>
        </w:rPr>
      </w:pPr>
    </w:p>
    <w:p w:rsidR="008236D2" w:rsidRPr="00C26FD6" w:rsidRDefault="008236D2" w:rsidP="008236D2">
      <w:pPr>
        <w:jc w:val="center"/>
        <w:rPr>
          <w:rFonts w:eastAsia="Times New Roman"/>
          <w:b/>
          <w:bCs/>
          <w:color w:val="0D0D0D"/>
          <w:sz w:val="32"/>
          <w:szCs w:val="32"/>
          <w:u w:val="single"/>
          <w:lang w:eastAsia="fr-FR" w:bidi="ar-TN"/>
        </w:rPr>
      </w:pPr>
      <w:r w:rsidRPr="00C26FD6">
        <w:rPr>
          <w:rFonts w:eastAsia="Times New Roman"/>
          <w:b/>
          <w:bCs/>
          <w:color w:val="0D0D0D"/>
          <w:sz w:val="32"/>
          <w:szCs w:val="32"/>
          <w:u w:val="single"/>
          <w:lang w:eastAsia="fr-FR" w:bidi="ar-TN"/>
        </w:rPr>
        <w:t>Procédures en ligne (TUNEPS)</w:t>
      </w:r>
    </w:p>
    <w:p w:rsidR="008236D2" w:rsidRPr="00A123C0" w:rsidRDefault="008236D2" w:rsidP="008236D2">
      <w:pPr>
        <w:jc w:val="center"/>
        <w:rPr>
          <w:b/>
          <w:bCs/>
        </w:rPr>
      </w:pPr>
    </w:p>
    <w:p w:rsidR="008236D2" w:rsidRPr="00A123C0" w:rsidRDefault="008236D2" w:rsidP="008236D2">
      <w:pPr>
        <w:ind w:left="3120"/>
        <w:rPr>
          <w:b/>
          <w:bCs/>
        </w:rPr>
      </w:pPr>
    </w:p>
    <w:p w:rsidR="008236D2" w:rsidRDefault="008236D2" w:rsidP="008236D2">
      <w:pPr>
        <w:jc w:val="both"/>
        <w:rPr>
          <w:sz w:val="26"/>
          <w:szCs w:val="26"/>
        </w:rPr>
      </w:pPr>
    </w:p>
    <w:p w:rsidR="008236D2" w:rsidRDefault="008236D2" w:rsidP="00E65285">
      <w:pPr>
        <w:ind w:firstLine="709"/>
        <w:jc w:val="both"/>
        <w:rPr>
          <w:lang w:bidi="ar-TN"/>
        </w:rPr>
      </w:pPr>
      <w:r w:rsidRPr="00CE561D">
        <w:t>L</w:t>
      </w:r>
      <w:r w:rsidR="00E65285">
        <w:t>a</w:t>
      </w:r>
      <w:r w:rsidRPr="00CE561D">
        <w:t xml:space="preserve"> Gouvern</w:t>
      </w:r>
      <w:r w:rsidR="00E65285">
        <w:t>ante</w:t>
      </w:r>
      <w:r w:rsidRPr="00CE561D">
        <w:t xml:space="preserve"> de Nabeul, Président du Conseil Régional, se propose de lancer un appel à la candidature </w:t>
      </w:r>
      <w:r>
        <w:rPr>
          <w:color w:val="000000"/>
        </w:rPr>
        <w:t xml:space="preserve">à </w:t>
      </w:r>
      <w:r w:rsidRPr="00E0715B">
        <w:rPr>
          <w:color w:val="0D0D0D"/>
        </w:rPr>
        <w:t xml:space="preserve">travers </w:t>
      </w:r>
      <w:r w:rsidRPr="00E0715B">
        <w:rPr>
          <w:b/>
          <w:bCs/>
          <w:color w:val="0D0D0D"/>
        </w:rPr>
        <w:t>la procédure des achats publics en ligne</w:t>
      </w:r>
      <w:r>
        <w:rPr>
          <w:b/>
          <w:bCs/>
          <w:color w:val="0D0D0D"/>
        </w:rPr>
        <w:t xml:space="preserve"> </w:t>
      </w:r>
      <w:r w:rsidRPr="00E0715B">
        <w:rPr>
          <w:b/>
          <w:bCs/>
          <w:color w:val="0D0D0D"/>
        </w:rPr>
        <w:t>(TUNEPS</w:t>
      </w:r>
      <w:r w:rsidRPr="00E0715B">
        <w:rPr>
          <w:color w:val="0D0D0D"/>
        </w:rPr>
        <w:t>)</w:t>
      </w:r>
      <w:r>
        <w:rPr>
          <w:color w:val="0D0D0D"/>
        </w:rPr>
        <w:t>,</w:t>
      </w:r>
      <w:r w:rsidRPr="00E0715B">
        <w:rPr>
          <w:color w:val="0D0D0D"/>
        </w:rPr>
        <w:t xml:space="preserve"> </w:t>
      </w:r>
      <w:r w:rsidRPr="00CE561D">
        <w:t xml:space="preserve">en vue d’identifier </w:t>
      </w:r>
      <w:r w:rsidR="00E65285" w:rsidRPr="00E65285">
        <w:rPr>
          <w:spacing w:val="12"/>
        </w:rPr>
        <w:t xml:space="preserve">un architecte ou un groupement d’Architectes pour l’élaboration des études architecturales, le suivi et le contrôle de l’exécution des travaux du </w:t>
      </w:r>
      <w:r w:rsidR="00E65285" w:rsidRPr="00E65285">
        <w:rPr>
          <w:lang w:bidi="ar-TN"/>
        </w:rPr>
        <w:t>PROJET DE REAMENAGEMENT DES INSTALLATIONS DES BLOCS OPERATOIRES A L’HOPITAL MOHAMED TAHER MAAMOURI DE NABEUL</w:t>
      </w:r>
    </w:p>
    <w:p w:rsidR="00E65285" w:rsidRPr="00E65285" w:rsidRDefault="00E65285" w:rsidP="00E65285">
      <w:pPr>
        <w:spacing w:line="360" w:lineRule="auto"/>
        <w:ind w:firstLine="709"/>
        <w:jc w:val="both"/>
      </w:pPr>
    </w:p>
    <w:p w:rsidR="008236D2" w:rsidRPr="00CE561D" w:rsidRDefault="008236D2" w:rsidP="008236D2">
      <w:pPr>
        <w:spacing w:line="360" w:lineRule="auto"/>
        <w:jc w:val="both"/>
        <w:rPr>
          <w:b/>
          <w:bCs/>
        </w:rPr>
      </w:pPr>
      <w:r w:rsidRPr="00CE561D">
        <w:rPr>
          <w:b/>
          <w:bCs/>
        </w:rPr>
        <w:t>Conditions de participation :</w:t>
      </w:r>
    </w:p>
    <w:p w:rsidR="00E65285" w:rsidRDefault="00E65285" w:rsidP="00E65285">
      <w:pPr>
        <w:pStyle w:val="Corpsdetexte2"/>
        <w:spacing w:line="240" w:lineRule="auto"/>
        <w:jc w:val="both"/>
        <w:rPr>
          <w:caps/>
        </w:rPr>
      </w:pPr>
      <w:r w:rsidRPr="00CE7DE9">
        <w:t>P</w:t>
      </w:r>
      <w:r>
        <w:t>eut participer à ce présent appel à la candidature</w:t>
      </w:r>
      <w:r w:rsidRPr="00EC2747">
        <w:t>, tout architecte</w:t>
      </w:r>
      <w:r>
        <w:t xml:space="preserve"> inscrit au tableau de l’ordre des architectes de Tunisie de l’année 2019 et ce conformément à l’article 11 de la loi n°74-46 du 22 Mai 1974 régissant l’exercice de la profession d’architecte</w:t>
      </w:r>
      <w:r>
        <w:rPr>
          <w:caps/>
        </w:rPr>
        <w:t xml:space="preserve">. </w:t>
      </w:r>
      <w:r>
        <w:t xml:space="preserve">Pour les nouvelles inscriptions après la parution du tableau de COAT de l’année 2019, il </w:t>
      </w:r>
      <w:proofErr w:type="spellStart"/>
      <w:r>
        <w:t>ya</w:t>
      </w:r>
      <w:proofErr w:type="spellEnd"/>
      <w:r>
        <w:t xml:space="preserve"> lieu de fournir les justificatifs de cette inscription.</w:t>
      </w:r>
    </w:p>
    <w:p w:rsidR="00E65285" w:rsidRDefault="00E65285" w:rsidP="00E65285">
      <w:pPr>
        <w:pStyle w:val="Corpsdetexte2"/>
        <w:spacing w:line="240" w:lineRule="auto"/>
        <w:jc w:val="both"/>
        <w:rPr>
          <w:b/>
          <w:bCs/>
        </w:rPr>
      </w:pPr>
      <w:r>
        <w:rPr>
          <w:b/>
          <w:bCs/>
        </w:rPr>
        <w:t>N.B :</w:t>
      </w:r>
    </w:p>
    <w:p w:rsidR="00E65285" w:rsidRDefault="00E65285" w:rsidP="00E65285">
      <w:pPr>
        <w:pStyle w:val="Corpsdetexte2"/>
        <w:spacing w:line="240" w:lineRule="auto"/>
        <w:ind w:left="567"/>
        <w:jc w:val="both"/>
        <w:rPr>
          <w:b/>
          <w:bCs/>
        </w:rPr>
      </w:pPr>
      <w:r>
        <w:rPr>
          <w:b/>
          <w:bCs/>
        </w:rPr>
        <w:t xml:space="preserve">* </w:t>
      </w:r>
      <w:r>
        <w:t>Le groupement doit être constitué par un architecte au minimum ou deux Architectes au maximum</w:t>
      </w:r>
      <w:r>
        <w:rPr>
          <w:b/>
          <w:bCs/>
        </w:rPr>
        <w:t>. U</w:t>
      </w:r>
      <w:r w:rsidRPr="00B25E02">
        <w:rPr>
          <w:b/>
          <w:bCs/>
        </w:rPr>
        <w:t xml:space="preserve">n groupement qui contient plus que </w:t>
      </w:r>
      <w:r>
        <w:rPr>
          <w:b/>
          <w:bCs/>
        </w:rPr>
        <w:t>deux</w:t>
      </w:r>
      <w:r w:rsidRPr="00B25E02">
        <w:rPr>
          <w:b/>
          <w:bCs/>
        </w:rPr>
        <w:t xml:space="preserve"> architectes sera automatiquement rejeté</w:t>
      </w:r>
      <w:r>
        <w:rPr>
          <w:b/>
          <w:bCs/>
        </w:rPr>
        <w:t>.</w:t>
      </w:r>
    </w:p>
    <w:p w:rsidR="00E65285" w:rsidRDefault="00E65285" w:rsidP="00E65285">
      <w:pPr>
        <w:pStyle w:val="Corpsdetexte2"/>
        <w:spacing w:line="240" w:lineRule="auto"/>
        <w:ind w:left="567"/>
        <w:jc w:val="both"/>
      </w:pPr>
      <w:r>
        <w:rPr>
          <w:b/>
          <w:bCs/>
        </w:rPr>
        <w:t xml:space="preserve">* </w:t>
      </w:r>
      <w:r w:rsidRPr="009E1293">
        <w:t>Un architecte ne peut participer qu’un seul groupement.</w:t>
      </w:r>
    </w:p>
    <w:p w:rsidR="008236D2" w:rsidRPr="00CE561D" w:rsidRDefault="008236D2" w:rsidP="008236D2">
      <w:pPr>
        <w:spacing w:line="360" w:lineRule="auto"/>
        <w:jc w:val="both"/>
        <w:rPr>
          <w:b/>
          <w:bCs/>
        </w:rPr>
      </w:pPr>
      <w:r w:rsidRPr="00CE561D">
        <w:rPr>
          <w:b/>
          <w:bCs/>
        </w:rPr>
        <w:t>Composition du dossier de candidature :</w:t>
      </w:r>
    </w:p>
    <w:p w:rsidR="00E65285" w:rsidRDefault="00E65285" w:rsidP="00E65285">
      <w:pPr>
        <w:jc w:val="both"/>
      </w:pPr>
      <w:r w:rsidRPr="00857F32">
        <w:t>Le</w:t>
      </w:r>
      <w:r w:rsidRPr="00C2666B">
        <w:t xml:space="preserve"> dossier d’inscription devra comporter les pièces suivantes </w:t>
      </w:r>
      <w:r>
        <w:t>:</w:t>
      </w:r>
    </w:p>
    <w:p w:rsidR="00E65285" w:rsidRDefault="00E65285" w:rsidP="00E65285">
      <w:pPr>
        <w:jc w:val="both"/>
      </w:pPr>
    </w:p>
    <w:tbl>
      <w:tblPr>
        <w:tblW w:w="1049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9"/>
        <w:gridCol w:w="3544"/>
      </w:tblGrid>
      <w:tr w:rsidR="00E65285" w:rsidTr="00E65285">
        <w:trPr>
          <w:trHeight w:val="419"/>
        </w:trPr>
        <w:tc>
          <w:tcPr>
            <w:tcW w:w="567" w:type="dxa"/>
            <w:shd w:val="pct12" w:color="auto" w:fill="auto"/>
            <w:vAlign w:val="center"/>
          </w:tcPr>
          <w:p w:rsidR="00E65285" w:rsidRPr="00C81C60" w:rsidRDefault="00E65285" w:rsidP="00967D80">
            <w:pPr>
              <w:jc w:val="center"/>
              <w:rPr>
                <w:b/>
                <w:bCs/>
                <w:sz w:val="22"/>
                <w:szCs w:val="22"/>
              </w:rPr>
            </w:pPr>
            <w:r w:rsidRPr="00C81C60">
              <w:rPr>
                <w:b/>
                <w:bCs/>
                <w:sz w:val="22"/>
                <w:szCs w:val="22"/>
              </w:rPr>
              <w:t>N°</w:t>
            </w:r>
          </w:p>
        </w:tc>
        <w:tc>
          <w:tcPr>
            <w:tcW w:w="6379" w:type="dxa"/>
            <w:shd w:val="pct12" w:color="auto" w:fill="auto"/>
            <w:vAlign w:val="center"/>
          </w:tcPr>
          <w:p w:rsidR="00E65285" w:rsidRPr="00C81C60" w:rsidRDefault="00E65285" w:rsidP="00967D80">
            <w:pPr>
              <w:jc w:val="center"/>
              <w:rPr>
                <w:b/>
                <w:bCs/>
                <w:sz w:val="22"/>
                <w:szCs w:val="22"/>
              </w:rPr>
            </w:pPr>
            <w:r w:rsidRPr="00C81C60">
              <w:rPr>
                <w:b/>
                <w:bCs/>
                <w:sz w:val="22"/>
                <w:szCs w:val="22"/>
              </w:rPr>
              <w:t>DESIGNATION DES DOCUMENTS</w:t>
            </w:r>
          </w:p>
        </w:tc>
        <w:tc>
          <w:tcPr>
            <w:tcW w:w="3544" w:type="dxa"/>
            <w:shd w:val="pct12" w:color="auto" w:fill="auto"/>
            <w:vAlign w:val="center"/>
          </w:tcPr>
          <w:p w:rsidR="00E65285" w:rsidRPr="00C81C60" w:rsidRDefault="00E65285" w:rsidP="00967D80">
            <w:pPr>
              <w:jc w:val="center"/>
              <w:rPr>
                <w:b/>
                <w:bCs/>
                <w:sz w:val="22"/>
                <w:szCs w:val="22"/>
              </w:rPr>
            </w:pPr>
            <w:r w:rsidRPr="00C81C60">
              <w:rPr>
                <w:b/>
                <w:bCs/>
                <w:sz w:val="22"/>
                <w:szCs w:val="22"/>
              </w:rPr>
              <w:t>AUTHENTIFICATION</w:t>
            </w:r>
          </w:p>
        </w:tc>
      </w:tr>
      <w:tr w:rsidR="00E65285" w:rsidTr="00E65285">
        <w:trPr>
          <w:trHeight w:val="775"/>
        </w:trPr>
        <w:tc>
          <w:tcPr>
            <w:tcW w:w="567" w:type="dxa"/>
            <w:vAlign w:val="center"/>
          </w:tcPr>
          <w:p w:rsidR="00E65285" w:rsidRPr="0059670D" w:rsidRDefault="00E65285" w:rsidP="00967D80">
            <w:pPr>
              <w:jc w:val="center"/>
              <w:rPr>
                <w:b/>
                <w:bCs/>
                <w:sz w:val="22"/>
                <w:szCs w:val="22"/>
              </w:rPr>
            </w:pPr>
            <w:r w:rsidRPr="0059670D">
              <w:rPr>
                <w:b/>
                <w:bCs/>
                <w:sz w:val="22"/>
                <w:szCs w:val="22"/>
              </w:rPr>
              <w:t>1</w:t>
            </w:r>
          </w:p>
        </w:tc>
        <w:tc>
          <w:tcPr>
            <w:tcW w:w="6379" w:type="dxa"/>
            <w:vAlign w:val="center"/>
          </w:tcPr>
          <w:p w:rsidR="00E65285" w:rsidRPr="00CA08D5" w:rsidRDefault="00E65285" w:rsidP="00967D80">
            <w:pPr>
              <w:jc w:val="both"/>
              <w:rPr>
                <w:sz w:val="22"/>
                <w:szCs w:val="22"/>
              </w:rPr>
            </w:pPr>
            <w:r>
              <w:rPr>
                <w:sz w:val="22"/>
                <w:szCs w:val="22"/>
              </w:rPr>
              <w:t xml:space="preserve">Le présent cahier d’appel à la candidature </w:t>
            </w:r>
          </w:p>
        </w:tc>
        <w:tc>
          <w:tcPr>
            <w:tcW w:w="3544" w:type="dxa"/>
          </w:tcPr>
          <w:p w:rsidR="00E65285" w:rsidRPr="00CA08D5" w:rsidRDefault="00E65285" w:rsidP="00967D80">
            <w:pPr>
              <w:jc w:val="both"/>
              <w:rPr>
                <w:sz w:val="22"/>
                <w:szCs w:val="22"/>
              </w:rPr>
            </w:pPr>
            <w:r w:rsidRPr="00CA08D5">
              <w:rPr>
                <w:sz w:val="22"/>
                <w:szCs w:val="22"/>
              </w:rPr>
              <w:t>Dûment</w:t>
            </w:r>
            <w:r>
              <w:rPr>
                <w:sz w:val="22"/>
                <w:szCs w:val="22"/>
              </w:rPr>
              <w:t xml:space="preserve"> rempli</w:t>
            </w:r>
            <w:r w:rsidRPr="00CA08D5">
              <w:rPr>
                <w:sz w:val="22"/>
                <w:szCs w:val="22"/>
              </w:rPr>
              <w:t xml:space="preserve"> paraphés et signés</w:t>
            </w:r>
            <w:r>
              <w:rPr>
                <w:sz w:val="22"/>
                <w:szCs w:val="22"/>
              </w:rPr>
              <w:t xml:space="preserve"> par l’architecte ou l’architecte mandataire en cas de groupement.</w:t>
            </w:r>
          </w:p>
        </w:tc>
      </w:tr>
      <w:tr w:rsidR="00E65285" w:rsidTr="00E65285">
        <w:trPr>
          <w:trHeight w:val="322"/>
        </w:trPr>
        <w:tc>
          <w:tcPr>
            <w:tcW w:w="567" w:type="dxa"/>
            <w:vAlign w:val="center"/>
          </w:tcPr>
          <w:p w:rsidR="00E65285" w:rsidRPr="0059670D" w:rsidRDefault="00E65285" w:rsidP="00967D80">
            <w:pPr>
              <w:jc w:val="center"/>
              <w:rPr>
                <w:b/>
                <w:bCs/>
                <w:sz w:val="22"/>
                <w:szCs w:val="22"/>
              </w:rPr>
            </w:pPr>
            <w:r w:rsidRPr="0059670D">
              <w:rPr>
                <w:b/>
                <w:bCs/>
                <w:sz w:val="22"/>
                <w:szCs w:val="22"/>
              </w:rPr>
              <w:t>2</w:t>
            </w:r>
          </w:p>
        </w:tc>
        <w:tc>
          <w:tcPr>
            <w:tcW w:w="6379" w:type="dxa"/>
            <w:vAlign w:val="center"/>
          </w:tcPr>
          <w:p w:rsidR="00E65285" w:rsidRPr="00CA08D5" w:rsidRDefault="00E65285" w:rsidP="00967D80">
            <w:pPr>
              <w:jc w:val="both"/>
              <w:rPr>
                <w:sz w:val="22"/>
                <w:szCs w:val="22"/>
              </w:rPr>
            </w:pPr>
            <w:r w:rsidRPr="00CA08D5">
              <w:rPr>
                <w:sz w:val="22"/>
                <w:szCs w:val="22"/>
              </w:rPr>
              <w:t>Convention (en cas de groupement) déclarant la composition du groupement</w:t>
            </w:r>
            <w:r>
              <w:rPr>
                <w:sz w:val="22"/>
                <w:szCs w:val="22"/>
              </w:rPr>
              <w:t xml:space="preserve"> et l’adresse de chaque membre</w:t>
            </w:r>
            <w:r w:rsidRPr="00CA08D5">
              <w:rPr>
                <w:sz w:val="22"/>
                <w:szCs w:val="22"/>
              </w:rPr>
              <w:t xml:space="preserve">, </w:t>
            </w:r>
            <w:r w:rsidRPr="00CA08D5">
              <w:rPr>
                <w:b/>
                <w:bCs/>
                <w:sz w:val="22"/>
                <w:szCs w:val="22"/>
                <w:u w:val="single"/>
              </w:rPr>
              <w:t>désignant l’Architecte mandataire comme chef de file</w:t>
            </w:r>
            <w:r w:rsidRPr="00CA08D5">
              <w:rPr>
                <w:sz w:val="22"/>
                <w:szCs w:val="22"/>
              </w:rPr>
              <w:t>.</w:t>
            </w:r>
          </w:p>
        </w:tc>
        <w:tc>
          <w:tcPr>
            <w:tcW w:w="3544" w:type="dxa"/>
            <w:vAlign w:val="center"/>
          </w:tcPr>
          <w:p w:rsidR="00E65285" w:rsidRPr="00CA08D5" w:rsidRDefault="00E65285" w:rsidP="00967D80">
            <w:pPr>
              <w:jc w:val="both"/>
              <w:rPr>
                <w:sz w:val="22"/>
                <w:szCs w:val="22"/>
              </w:rPr>
            </w:pPr>
            <w:r w:rsidRPr="00CA08D5">
              <w:rPr>
                <w:sz w:val="22"/>
                <w:szCs w:val="22"/>
              </w:rPr>
              <w:t>Signé par tous les membres du groupement</w:t>
            </w:r>
            <w:r>
              <w:rPr>
                <w:sz w:val="22"/>
                <w:szCs w:val="22"/>
              </w:rPr>
              <w:t xml:space="preserve"> conformément à </w:t>
            </w:r>
            <w:r w:rsidRPr="00CD45C0">
              <w:rPr>
                <w:sz w:val="22"/>
                <w:szCs w:val="22"/>
              </w:rPr>
              <w:t>l’annexe I</w:t>
            </w:r>
          </w:p>
        </w:tc>
      </w:tr>
      <w:tr w:rsidR="00E65285" w:rsidTr="00E65285">
        <w:trPr>
          <w:trHeight w:val="379"/>
        </w:trPr>
        <w:tc>
          <w:tcPr>
            <w:tcW w:w="567" w:type="dxa"/>
            <w:vAlign w:val="center"/>
          </w:tcPr>
          <w:p w:rsidR="00E65285" w:rsidRPr="0059670D" w:rsidRDefault="00E65285" w:rsidP="00967D80">
            <w:pPr>
              <w:jc w:val="center"/>
              <w:rPr>
                <w:b/>
                <w:bCs/>
                <w:sz w:val="22"/>
                <w:szCs w:val="22"/>
              </w:rPr>
            </w:pPr>
            <w:r w:rsidRPr="0059670D">
              <w:rPr>
                <w:b/>
                <w:bCs/>
                <w:sz w:val="22"/>
                <w:szCs w:val="22"/>
              </w:rPr>
              <w:t>3</w:t>
            </w:r>
          </w:p>
        </w:tc>
        <w:tc>
          <w:tcPr>
            <w:tcW w:w="6379" w:type="dxa"/>
          </w:tcPr>
          <w:p w:rsidR="00E65285" w:rsidRDefault="00E65285" w:rsidP="00967D80">
            <w:pPr>
              <w:jc w:val="both"/>
              <w:rPr>
                <w:sz w:val="22"/>
                <w:szCs w:val="22"/>
              </w:rPr>
            </w:pPr>
          </w:p>
          <w:p w:rsidR="00E65285" w:rsidRDefault="00E65285" w:rsidP="00967D80">
            <w:pPr>
              <w:jc w:val="both"/>
              <w:rPr>
                <w:sz w:val="22"/>
                <w:szCs w:val="22"/>
              </w:rPr>
            </w:pPr>
          </w:p>
          <w:p w:rsidR="00E65285" w:rsidRPr="00CA08D5" w:rsidRDefault="00E65285" w:rsidP="00967D80">
            <w:pPr>
              <w:jc w:val="both"/>
              <w:rPr>
                <w:sz w:val="22"/>
                <w:szCs w:val="22"/>
              </w:rPr>
            </w:pPr>
            <w:r>
              <w:rPr>
                <w:sz w:val="22"/>
                <w:szCs w:val="22"/>
              </w:rPr>
              <w:t xml:space="preserve">Demande de candidature. </w:t>
            </w:r>
          </w:p>
        </w:tc>
        <w:tc>
          <w:tcPr>
            <w:tcW w:w="3544" w:type="dxa"/>
          </w:tcPr>
          <w:p w:rsidR="00E65285" w:rsidRDefault="00E65285" w:rsidP="00967D80">
            <w:pPr>
              <w:jc w:val="both"/>
              <w:rPr>
                <w:sz w:val="22"/>
                <w:szCs w:val="22"/>
              </w:rPr>
            </w:pPr>
          </w:p>
          <w:p w:rsidR="00E65285" w:rsidRPr="00CA08D5" w:rsidRDefault="00E65285" w:rsidP="00967D80">
            <w:pPr>
              <w:jc w:val="both"/>
              <w:rPr>
                <w:sz w:val="22"/>
                <w:szCs w:val="22"/>
              </w:rPr>
            </w:pPr>
            <w:r>
              <w:rPr>
                <w:sz w:val="22"/>
                <w:szCs w:val="22"/>
              </w:rPr>
              <w:t xml:space="preserve">dument signée et paraphé par l’architecte ou l’architecte mandataire en cas de groupement conformément à l’annexe II. </w:t>
            </w:r>
          </w:p>
        </w:tc>
      </w:tr>
      <w:tr w:rsidR="00E65285" w:rsidTr="00E65285">
        <w:tc>
          <w:tcPr>
            <w:tcW w:w="567" w:type="dxa"/>
          </w:tcPr>
          <w:p w:rsidR="00E65285" w:rsidRPr="0059670D" w:rsidRDefault="00E65285" w:rsidP="00967D80">
            <w:pPr>
              <w:jc w:val="center"/>
              <w:rPr>
                <w:b/>
                <w:bCs/>
                <w:sz w:val="22"/>
                <w:szCs w:val="22"/>
              </w:rPr>
            </w:pPr>
            <w:r w:rsidRPr="0059670D">
              <w:rPr>
                <w:b/>
                <w:bCs/>
                <w:sz w:val="22"/>
                <w:szCs w:val="22"/>
              </w:rPr>
              <w:t>4</w:t>
            </w:r>
          </w:p>
        </w:tc>
        <w:tc>
          <w:tcPr>
            <w:tcW w:w="6379" w:type="dxa"/>
          </w:tcPr>
          <w:p w:rsidR="00E65285" w:rsidRPr="00CA08D5" w:rsidRDefault="00E65285" w:rsidP="00967D80">
            <w:pPr>
              <w:jc w:val="both"/>
              <w:rPr>
                <w:sz w:val="22"/>
                <w:szCs w:val="22"/>
              </w:rPr>
            </w:pPr>
            <w:r w:rsidRPr="00CA08D5">
              <w:rPr>
                <w:sz w:val="22"/>
                <w:szCs w:val="22"/>
              </w:rPr>
              <w:t>Une attestation d’inscription délivrée par l’OAT, pour le/les Architectes</w:t>
            </w:r>
            <w:r>
              <w:rPr>
                <w:sz w:val="22"/>
                <w:szCs w:val="22"/>
              </w:rPr>
              <w:t xml:space="preserve"> du groupement</w:t>
            </w:r>
            <w:r w:rsidRPr="00CA08D5">
              <w:rPr>
                <w:sz w:val="22"/>
                <w:szCs w:val="22"/>
              </w:rPr>
              <w:t xml:space="preserve">, valable pour l’année </w:t>
            </w:r>
            <w:r>
              <w:rPr>
                <w:sz w:val="22"/>
                <w:szCs w:val="22"/>
              </w:rPr>
              <w:t>2022</w:t>
            </w:r>
            <w:r w:rsidRPr="00CA08D5">
              <w:rPr>
                <w:sz w:val="22"/>
                <w:szCs w:val="22"/>
              </w:rPr>
              <w:t>.</w:t>
            </w:r>
          </w:p>
        </w:tc>
        <w:tc>
          <w:tcPr>
            <w:tcW w:w="3544" w:type="dxa"/>
          </w:tcPr>
          <w:p w:rsidR="00E65285" w:rsidRPr="00CA08D5" w:rsidRDefault="00E65285" w:rsidP="00967D80">
            <w:pPr>
              <w:jc w:val="both"/>
              <w:rPr>
                <w:sz w:val="22"/>
                <w:szCs w:val="22"/>
              </w:rPr>
            </w:pPr>
            <w:r w:rsidRPr="00CA08D5">
              <w:rPr>
                <w:sz w:val="22"/>
                <w:szCs w:val="22"/>
              </w:rPr>
              <w:t>Copie originale.</w:t>
            </w:r>
          </w:p>
        </w:tc>
      </w:tr>
      <w:tr w:rsidR="00E65285" w:rsidTr="00E65285">
        <w:tc>
          <w:tcPr>
            <w:tcW w:w="567" w:type="dxa"/>
          </w:tcPr>
          <w:p w:rsidR="00E65285" w:rsidRPr="0059670D" w:rsidRDefault="00E65285" w:rsidP="00967D80">
            <w:pPr>
              <w:jc w:val="center"/>
              <w:rPr>
                <w:b/>
                <w:bCs/>
                <w:sz w:val="22"/>
                <w:szCs w:val="22"/>
              </w:rPr>
            </w:pPr>
          </w:p>
          <w:p w:rsidR="00E65285" w:rsidRPr="0059670D" w:rsidRDefault="00E65285" w:rsidP="00967D80">
            <w:pPr>
              <w:jc w:val="center"/>
              <w:rPr>
                <w:b/>
                <w:bCs/>
                <w:sz w:val="22"/>
                <w:szCs w:val="22"/>
              </w:rPr>
            </w:pPr>
            <w:r w:rsidRPr="0059670D">
              <w:rPr>
                <w:b/>
                <w:bCs/>
                <w:sz w:val="22"/>
                <w:szCs w:val="22"/>
              </w:rPr>
              <w:t>5</w:t>
            </w:r>
          </w:p>
        </w:tc>
        <w:tc>
          <w:tcPr>
            <w:tcW w:w="6379" w:type="dxa"/>
          </w:tcPr>
          <w:p w:rsidR="00E65285" w:rsidRPr="00CA08D5" w:rsidRDefault="00E65285" w:rsidP="00967D80">
            <w:pPr>
              <w:jc w:val="both"/>
              <w:rPr>
                <w:sz w:val="22"/>
                <w:szCs w:val="22"/>
              </w:rPr>
            </w:pPr>
          </w:p>
          <w:p w:rsidR="00E65285" w:rsidRPr="00CA08D5" w:rsidRDefault="00E65285" w:rsidP="00967D80">
            <w:pPr>
              <w:jc w:val="both"/>
              <w:rPr>
                <w:sz w:val="22"/>
                <w:szCs w:val="22"/>
              </w:rPr>
            </w:pPr>
            <w:r w:rsidRPr="00CA08D5">
              <w:rPr>
                <w:sz w:val="22"/>
                <w:szCs w:val="22"/>
              </w:rPr>
              <w:t>Une déclaration sur l’honneur de l’exactitude des renseignements</w:t>
            </w:r>
            <w:r>
              <w:rPr>
                <w:sz w:val="22"/>
                <w:szCs w:val="22"/>
              </w:rPr>
              <w:t xml:space="preserve"> fournis.</w:t>
            </w:r>
          </w:p>
        </w:tc>
        <w:tc>
          <w:tcPr>
            <w:tcW w:w="3544" w:type="dxa"/>
          </w:tcPr>
          <w:p w:rsidR="00E65285" w:rsidRPr="00CA08D5" w:rsidRDefault="00E65285" w:rsidP="00967D80">
            <w:pPr>
              <w:jc w:val="both"/>
              <w:rPr>
                <w:sz w:val="22"/>
                <w:szCs w:val="22"/>
              </w:rPr>
            </w:pPr>
            <w:r>
              <w:rPr>
                <w:sz w:val="22"/>
                <w:szCs w:val="22"/>
              </w:rPr>
              <w:t xml:space="preserve">Signé par tous les membres du </w:t>
            </w:r>
            <w:r w:rsidRPr="00CA08D5">
              <w:rPr>
                <w:sz w:val="22"/>
                <w:szCs w:val="22"/>
              </w:rPr>
              <w:t xml:space="preserve">groupement conformément à l’annexe </w:t>
            </w:r>
            <w:r>
              <w:rPr>
                <w:sz w:val="22"/>
                <w:szCs w:val="22"/>
              </w:rPr>
              <w:t>III</w:t>
            </w:r>
            <w:r w:rsidRPr="00CA08D5">
              <w:rPr>
                <w:sz w:val="22"/>
                <w:szCs w:val="22"/>
              </w:rPr>
              <w:t xml:space="preserve"> du cahier des charges</w:t>
            </w:r>
            <w:r>
              <w:rPr>
                <w:sz w:val="22"/>
                <w:szCs w:val="22"/>
              </w:rPr>
              <w:t>.</w:t>
            </w:r>
          </w:p>
        </w:tc>
      </w:tr>
      <w:tr w:rsidR="00E65285" w:rsidTr="00E65285">
        <w:tc>
          <w:tcPr>
            <w:tcW w:w="567" w:type="dxa"/>
          </w:tcPr>
          <w:p w:rsidR="00E65285" w:rsidRPr="0059670D" w:rsidRDefault="00E65285" w:rsidP="00967D80">
            <w:pPr>
              <w:jc w:val="center"/>
              <w:rPr>
                <w:b/>
                <w:bCs/>
                <w:sz w:val="22"/>
                <w:szCs w:val="22"/>
              </w:rPr>
            </w:pPr>
            <w:r w:rsidRPr="0059670D">
              <w:rPr>
                <w:b/>
                <w:bCs/>
                <w:sz w:val="22"/>
                <w:szCs w:val="22"/>
              </w:rPr>
              <w:t>6</w:t>
            </w:r>
          </w:p>
        </w:tc>
        <w:tc>
          <w:tcPr>
            <w:tcW w:w="6379" w:type="dxa"/>
          </w:tcPr>
          <w:p w:rsidR="00E65285" w:rsidRPr="00CA08D5" w:rsidRDefault="00E65285" w:rsidP="00967D80">
            <w:pPr>
              <w:jc w:val="both"/>
              <w:rPr>
                <w:sz w:val="22"/>
                <w:szCs w:val="22"/>
              </w:rPr>
            </w:pPr>
            <w:r w:rsidRPr="00CA08D5">
              <w:rPr>
                <w:sz w:val="22"/>
                <w:szCs w:val="22"/>
              </w:rPr>
              <w:t>Diplôme</w:t>
            </w:r>
            <w:r>
              <w:rPr>
                <w:sz w:val="22"/>
                <w:szCs w:val="22"/>
              </w:rPr>
              <w:t xml:space="preserve"> de chaque membre du groupement et l’équivalence du diplôme en cas de diplôme d’une payer étrangère ou d’un établissement privé.</w:t>
            </w:r>
          </w:p>
        </w:tc>
        <w:tc>
          <w:tcPr>
            <w:tcW w:w="3544" w:type="dxa"/>
          </w:tcPr>
          <w:p w:rsidR="00E65285" w:rsidRDefault="00E65285" w:rsidP="00967D80">
            <w:pPr>
              <w:jc w:val="both"/>
              <w:rPr>
                <w:sz w:val="22"/>
                <w:szCs w:val="22"/>
              </w:rPr>
            </w:pPr>
            <w:r w:rsidRPr="00CA08D5">
              <w:rPr>
                <w:sz w:val="22"/>
                <w:szCs w:val="22"/>
              </w:rPr>
              <w:t>Copie certifiée conforme à l’originale</w:t>
            </w:r>
          </w:p>
        </w:tc>
      </w:tr>
      <w:tr w:rsidR="00E65285" w:rsidTr="00E65285">
        <w:tc>
          <w:tcPr>
            <w:tcW w:w="567" w:type="dxa"/>
          </w:tcPr>
          <w:p w:rsidR="00E65285" w:rsidRDefault="00E65285" w:rsidP="00967D80">
            <w:pPr>
              <w:jc w:val="center"/>
              <w:rPr>
                <w:b/>
                <w:bCs/>
                <w:sz w:val="22"/>
                <w:szCs w:val="22"/>
              </w:rPr>
            </w:pPr>
          </w:p>
          <w:p w:rsidR="00E65285" w:rsidRPr="0059670D" w:rsidRDefault="00E65285" w:rsidP="00967D80">
            <w:pPr>
              <w:jc w:val="center"/>
              <w:rPr>
                <w:b/>
                <w:bCs/>
                <w:sz w:val="22"/>
                <w:szCs w:val="22"/>
              </w:rPr>
            </w:pPr>
            <w:r w:rsidRPr="0059670D">
              <w:rPr>
                <w:b/>
                <w:bCs/>
                <w:sz w:val="22"/>
                <w:szCs w:val="22"/>
              </w:rPr>
              <w:t>7</w:t>
            </w:r>
          </w:p>
        </w:tc>
        <w:tc>
          <w:tcPr>
            <w:tcW w:w="6379" w:type="dxa"/>
          </w:tcPr>
          <w:p w:rsidR="00E65285" w:rsidRPr="00CA08D5" w:rsidRDefault="00E65285" w:rsidP="00967D80">
            <w:pPr>
              <w:jc w:val="both"/>
              <w:rPr>
                <w:sz w:val="22"/>
                <w:szCs w:val="22"/>
              </w:rPr>
            </w:pPr>
            <w:r>
              <w:rPr>
                <w:sz w:val="22"/>
                <w:szCs w:val="22"/>
              </w:rPr>
              <w:t xml:space="preserve">La liste des références en matière d’études et de suivi durant les dix dernières années (la date butoir de cette période est la date limite du rendu du dossier) des projets de bâtiments civils réalisés pour chaque membre du groupement </w:t>
            </w:r>
          </w:p>
        </w:tc>
        <w:tc>
          <w:tcPr>
            <w:tcW w:w="3544" w:type="dxa"/>
          </w:tcPr>
          <w:p w:rsidR="00E65285" w:rsidRDefault="00E65285" w:rsidP="00967D80">
            <w:pPr>
              <w:jc w:val="both"/>
              <w:rPr>
                <w:sz w:val="22"/>
                <w:szCs w:val="22"/>
              </w:rPr>
            </w:pPr>
            <w:r w:rsidRPr="00CA08D5">
              <w:rPr>
                <w:sz w:val="22"/>
                <w:szCs w:val="22"/>
              </w:rPr>
              <w:t xml:space="preserve">Conformément à l’annexe </w:t>
            </w:r>
            <w:r>
              <w:rPr>
                <w:sz w:val="22"/>
                <w:szCs w:val="22"/>
              </w:rPr>
              <w:t xml:space="preserve">IV/a </w:t>
            </w:r>
            <w:r w:rsidRPr="00CA08D5">
              <w:rPr>
                <w:sz w:val="22"/>
                <w:szCs w:val="22"/>
              </w:rPr>
              <w:t xml:space="preserve">du </w:t>
            </w:r>
            <w:r>
              <w:rPr>
                <w:sz w:val="22"/>
                <w:szCs w:val="22"/>
              </w:rPr>
              <w:t xml:space="preserve">règlement avec la </w:t>
            </w:r>
            <w:r w:rsidRPr="00CA08D5">
              <w:rPr>
                <w:sz w:val="22"/>
                <w:szCs w:val="22"/>
              </w:rPr>
              <w:t xml:space="preserve">Fourniture </w:t>
            </w:r>
            <w:r>
              <w:rPr>
                <w:sz w:val="22"/>
                <w:szCs w:val="22"/>
              </w:rPr>
              <w:t>de toutes les pièces justificatives nécessaires</w:t>
            </w:r>
          </w:p>
        </w:tc>
      </w:tr>
      <w:tr w:rsidR="00E65285" w:rsidTr="00E65285">
        <w:tc>
          <w:tcPr>
            <w:tcW w:w="567" w:type="dxa"/>
          </w:tcPr>
          <w:p w:rsidR="00E65285" w:rsidRDefault="00E65285" w:rsidP="00967D80">
            <w:pPr>
              <w:rPr>
                <w:b/>
                <w:bCs/>
                <w:sz w:val="22"/>
                <w:szCs w:val="22"/>
              </w:rPr>
            </w:pPr>
          </w:p>
          <w:p w:rsidR="00E65285" w:rsidRPr="0059670D" w:rsidRDefault="00E65285" w:rsidP="00967D80">
            <w:pPr>
              <w:jc w:val="center"/>
              <w:rPr>
                <w:b/>
                <w:bCs/>
                <w:sz w:val="22"/>
                <w:szCs w:val="22"/>
              </w:rPr>
            </w:pPr>
            <w:r>
              <w:rPr>
                <w:b/>
                <w:bCs/>
                <w:sz w:val="22"/>
                <w:szCs w:val="22"/>
              </w:rPr>
              <w:t>8</w:t>
            </w:r>
          </w:p>
        </w:tc>
        <w:tc>
          <w:tcPr>
            <w:tcW w:w="6379" w:type="dxa"/>
          </w:tcPr>
          <w:p w:rsidR="00E65285" w:rsidRDefault="00E65285" w:rsidP="00967D80">
            <w:pPr>
              <w:jc w:val="both"/>
              <w:rPr>
                <w:sz w:val="22"/>
                <w:szCs w:val="22"/>
              </w:rPr>
            </w:pPr>
          </w:p>
          <w:p w:rsidR="00E65285" w:rsidRPr="00CA08D5" w:rsidRDefault="00E65285" w:rsidP="00967D80">
            <w:pPr>
              <w:jc w:val="both"/>
              <w:rPr>
                <w:sz w:val="22"/>
                <w:szCs w:val="22"/>
              </w:rPr>
            </w:pPr>
            <w:r w:rsidRPr="00CA08D5">
              <w:rPr>
                <w:sz w:val="22"/>
                <w:szCs w:val="22"/>
              </w:rPr>
              <w:t>Le plan de charge de</w:t>
            </w:r>
            <w:r>
              <w:rPr>
                <w:sz w:val="22"/>
                <w:szCs w:val="22"/>
              </w:rPr>
              <w:t xml:space="preserve"> chaque membre du groupement.</w:t>
            </w:r>
          </w:p>
        </w:tc>
        <w:tc>
          <w:tcPr>
            <w:tcW w:w="3544" w:type="dxa"/>
          </w:tcPr>
          <w:p w:rsidR="00E65285" w:rsidRDefault="00E65285" w:rsidP="00967D80">
            <w:pPr>
              <w:jc w:val="both"/>
              <w:rPr>
                <w:sz w:val="22"/>
                <w:szCs w:val="22"/>
              </w:rPr>
            </w:pPr>
            <w:r w:rsidRPr="00CA08D5">
              <w:rPr>
                <w:sz w:val="22"/>
                <w:szCs w:val="22"/>
              </w:rPr>
              <w:t xml:space="preserve">Conformément à l’annexe </w:t>
            </w:r>
            <w:r>
              <w:rPr>
                <w:sz w:val="22"/>
                <w:szCs w:val="22"/>
              </w:rPr>
              <w:t>V</w:t>
            </w:r>
            <w:r w:rsidRPr="00CA08D5">
              <w:rPr>
                <w:sz w:val="22"/>
                <w:szCs w:val="22"/>
              </w:rPr>
              <w:t xml:space="preserve"> du cahier des charges</w:t>
            </w:r>
            <w:r>
              <w:rPr>
                <w:sz w:val="22"/>
                <w:szCs w:val="22"/>
              </w:rPr>
              <w:t>.</w:t>
            </w:r>
            <w:r w:rsidRPr="00CA08D5">
              <w:rPr>
                <w:sz w:val="22"/>
                <w:szCs w:val="22"/>
              </w:rPr>
              <w:t xml:space="preserve"> Date, signature et cachet du </w:t>
            </w:r>
            <w:r>
              <w:rPr>
                <w:sz w:val="22"/>
                <w:szCs w:val="22"/>
              </w:rPr>
              <w:t>candidat avec fourniture de toutes les pièces justificatives sur le degré d’avancement</w:t>
            </w:r>
            <w:r w:rsidRPr="00CA08D5">
              <w:rPr>
                <w:sz w:val="22"/>
                <w:szCs w:val="22"/>
              </w:rPr>
              <w:t>.</w:t>
            </w:r>
          </w:p>
        </w:tc>
      </w:tr>
    </w:tbl>
    <w:p w:rsidR="00E65285" w:rsidRDefault="00E65285" w:rsidP="00E65285">
      <w:pPr>
        <w:pStyle w:val="Corpsdetexte2"/>
        <w:jc w:val="both"/>
        <w:rPr>
          <w:b/>
          <w:bCs/>
          <w:spacing w:val="12"/>
        </w:rPr>
      </w:pPr>
    </w:p>
    <w:p w:rsidR="00E65285" w:rsidRDefault="00E65285" w:rsidP="00E65285">
      <w:pPr>
        <w:pStyle w:val="Corpsdetexte2"/>
        <w:spacing w:line="240" w:lineRule="auto"/>
        <w:jc w:val="both"/>
        <w:rPr>
          <w:b/>
          <w:bCs/>
          <w:spacing w:val="12"/>
        </w:rPr>
      </w:pPr>
      <w:r>
        <w:rPr>
          <w:b/>
          <w:bCs/>
          <w:spacing w:val="12"/>
          <w:u w:val="single"/>
        </w:rPr>
        <w:t>N.B</w:t>
      </w:r>
      <w:r w:rsidRPr="00903CD7">
        <w:rPr>
          <w:b/>
          <w:bCs/>
          <w:spacing w:val="12"/>
        </w:rPr>
        <w:t>։</w:t>
      </w:r>
    </w:p>
    <w:p w:rsidR="00E65285" w:rsidRDefault="00E65285" w:rsidP="00E65285">
      <w:pPr>
        <w:pStyle w:val="Corpsdetexte2"/>
        <w:spacing w:line="240" w:lineRule="auto"/>
        <w:jc w:val="both"/>
        <w:rPr>
          <w:lang w:bidi="ar-TN"/>
        </w:rPr>
      </w:pPr>
      <w:r>
        <w:rPr>
          <w:lang w:bidi="ar-TN"/>
        </w:rPr>
        <w:t xml:space="preserve">* </w:t>
      </w:r>
      <w:r w:rsidRPr="006A6006">
        <w:rPr>
          <w:lang w:bidi="ar-TN"/>
        </w:rPr>
        <w:t xml:space="preserve">Tout projet non justifié </w:t>
      </w:r>
      <w:r>
        <w:rPr>
          <w:lang w:bidi="ar-TN"/>
        </w:rPr>
        <w:t xml:space="preserve">ou manque de l’un des justificatives </w:t>
      </w:r>
      <w:r>
        <w:t xml:space="preserve">sur le suivis des études et des travaux d’exécution du projet par </w:t>
      </w:r>
      <w:r w:rsidR="00A75AAD">
        <w:t>les candidats</w:t>
      </w:r>
      <w:r>
        <w:t xml:space="preserve"> ou sur le montant des travaux ou le degré d’avancement</w:t>
      </w:r>
      <w:r w:rsidRPr="006A6006">
        <w:rPr>
          <w:lang w:bidi="ar-TN"/>
        </w:rPr>
        <w:t xml:space="preserve"> ne sera pas pris en considération</w:t>
      </w:r>
    </w:p>
    <w:p w:rsidR="00E65285" w:rsidRDefault="00E65285" w:rsidP="00E65285">
      <w:pPr>
        <w:pStyle w:val="Titre4"/>
        <w:rPr>
          <w:sz w:val="24"/>
          <w:szCs w:val="24"/>
          <w:u w:val="none"/>
        </w:rPr>
      </w:pPr>
      <w:r w:rsidRPr="00E65285">
        <w:rPr>
          <w:b w:val="0"/>
          <w:bCs w:val="0"/>
          <w:sz w:val="24"/>
          <w:szCs w:val="24"/>
          <w:u w:val="none"/>
        </w:rPr>
        <w:t>* Toute fausse déclaration du plan de charge entraîne le rejet automatique du dossier</w:t>
      </w:r>
    </w:p>
    <w:p w:rsidR="00E65285" w:rsidRDefault="00E65285" w:rsidP="00E65285">
      <w:pPr>
        <w:pStyle w:val="Titre4"/>
        <w:rPr>
          <w:sz w:val="24"/>
          <w:szCs w:val="24"/>
          <w:u w:val="none"/>
        </w:rPr>
      </w:pPr>
    </w:p>
    <w:p w:rsidR="008236D2" w:rsidRPr="00CE561D" w:rsidRDefault="008236D2" w:rsidP="00E65285">
      <w:pPr>
        <w:pStyle w:val="Titre4"/>
        <w:rPr>
          <w:sz w:val="24"/>
          <w:szCs w:val="24"/>
          <w:u w:val="none"/>
        </w:rPr>
      </w:pPr>
      <w:r w:rsidRPr="00CE561D">
        <w:rPr>
          <w:sz w:val="24"/>
          <w:szCs w:val="24"/>
          <w:u w:val="none"/>
        </w:rPr>
        <w:t>Critères de choix et barèmes de notation :</w:t>
      </w:r>
    </w:p>
    <w:p w:rsidR="00E65285" w:rsidRDefault="008236D2" w:rsidP="00E65285">
      <w:pPr>
        <w:spacing w:line="276" w:lineRule="auto"/>
        <w:ind w:left="142"/>
        <w:jc w:val="both"/>
      </w:pPr>
      <w:r w:rsidRPr="00CE561D">
        <w:tab/>
      </w:r>
      <w:r w:rsidR="00E65285">
        <w:t xml:space="preserve">Pour le dépouillement des dossiers et le classement des concurrents, le barème de notation ci-après sera appliqué : </w:t>
      </w:r>
    </w:p>
    <w:p w:rsidR="00E65285" w:rsidRDefault="00E65285" w:rsidP="00E65285">
      <w:pPr>
        <w:spacing w:line="276" w:lineRule="auto"/>
        <w:ind w:left="142"/>
        <w:jc w:val="both"/>
      </w:pPr>
      <w:r>
        <w:t>1/ Ancienneté (AN)</w:t>
      </w:r>
      <w:r>
        <w:tab/>
      </w:r>
      <w:r>
        <w:tab/>
      </w:r>
      <w:r>
        <w:tab/>
      </w:r>
      <w:r>
        <w:tab/>
      </w:r>
      <w:r>
        <w:tab/>
      </w:r>
      <w:r>
        <w:tab/>
      </w:r>
      <w:r>
        <w:tab/>
        <w:t>:</w:t>
      </w:r>
      <w:r>
        <w:tab/>
        <w:t>10/100 points</w:t>
      </w:r>
    </w:p>
    <w:p w:rsidR="00E65285" w:rsidRDefault="00E65285" w:rsidP="00E65285">
      <w:pPr>
        <w:spacing w:line="276" w:lineRule="auto"/>
        <w:ind w:left="142"/>
        <w:jc w:val="both"/>
      </w:pPr>
      <w:r>
        <w:t>2/ Les Références Générales (RG)</w:t>
      </w:r>
      <w:r>
        <w:tab/>
      </w:r>
      <w:r>
        <w:tab/>
      </w:r>
      <w:r>
        <w:tab/>
      </w:r>
      <w:r>
        <w:tab/>
      </w:r>
      <w:r>
        <w:tab/>
        <w:t>:</w:t>
      </w:r>
      <w:r>
        <w:tab/>
        <w:t>45/100 points</w:t>
      </w:r>
    </w:p>
    <w:p w:rsidR="00E65285" w:rsidRDefault="00E65285" w:rsidP="00E65285">
      <w:pPr>
        <w:spacing w:line="276" w:lineRule="auto"/>
        <w:ind w:left="142"/>
        <w:jc w:val="both"/>
      </w:pPr>
      <w:r>
        <w:t>3/ Le Plan de charge (PC)</w:t>
      </w:r>
      <w:r>
        <w:tab/>
      </w:r>
      <w:r>
        <w:tab/>
      </w:r>
      <w:r>
        <w:tab/>
      </w:r>
      <w:r>
        <w:tab/>
      </w:r>
      <w:r>
        <w:tab/>
      </w:r>
      <w:r>
        <w:tab/>
        <w:t>:</w:t>
      </w:r>
      <w:r>
        <w:tab/>
        <w:t>35/100 points</w:t>
      </w:r>
    </w:p>
    <w:p w:rsidR="00E65285" w:rsidRDefault="00E65285" w:rsidP="00A75AAD">
      <w:pPr>
        <w:spacing w:line="276" w:lineRule="auto"/>
        <w:ind w:left="142"/>
        <w:jc w:val="both"/>
      </w:pPr>
      <w:r>
        <w:t>4/ La Proximité du Local du candidat du projet (P</w:t>
      </w:r>
      <w:r w:rsidR="00A75AAD">
        <w:t>r</w:t>
      </w:r>
      <w:r>
        <w:t>)</w:t>
      </w:r>
      <w:r>
        <w:tab/>
      </w:r>
      <w:r>
        <w:tab/>
        <w:t>:</w:t>
      </w:r>
      <w:r>
        <w:tab/>
        <w:t>10/100 points</w:t>
      </w:r>
    </w:p>
    <w:p w:rsidR="00E65285" w:rsidRDefault="00E65285" w:rsidP="00E65285">
      <w:pPr>
        <w:spacing w:line="276" w:lineRule="auto"/>
        <w:ind w:left="142"/>
        <w:jc w:val="both"/>
      </w:pPr>
    </w:p>
    <w:p w:rsidR="00E65285" w:rsidRDefault="00E65285" w:rsidP="00E65285">
      <w:pPr>
        <w:spacing w:line="276" w:lineRule="auto"/>
        <w:ind w:left="142"/>
        <w:jc w:val="both"/>
      </w:pPr>
      <w:r>
        <w:t>La Note Générale (</w:t>
      </w:r>
      <w:r w:rsidRPr="007A6FCA">
        <w:rPr>
          <w:b/>
          <w:bCs/>
        </w:rPr>
        <w:t>NG</w:t>
      </w:r>
      <w:r>
        <w:t>) de chaque candidat est :</w:t>
      </w:r>
    </w:p>
    <w:p w:rsidR="00E65285" w:rsidRDefault="00E65285" w:rsidP="00E65285">
      <w:pPr>
        <w:spacing w:line="276" w:lineRule="auto"/>
        <w:ind w:left="142"/>
        <w:jc w:val="center"/>
        <w:rPr>
          <w:b/>
          <w:bCs/>
          <w:lang w:val="en-US"/>
        </w:rPr>
      </w:pPr>
    </w:p>
    <w:p w:rsidR="00E65285" w:rsidRDefault="00E65285" w:rsidP="00A75AAD">
      <w:pPr>
        <w:spacing w:line="360" w:lineRule="auto"/>
        <w:jc w:val="center"/>
        <w:rPr>
          <w:b/>
          <w:bCs/>
          <w:lang w:val="en-US" w:bidi="ar-TN"/>
        </w:rPr>
      </w:pPr>
      <w:r>
        <w:rPr>
          <w:b/>
          <w:bCs/>
          <w:lang w:val="en-US" w:bidi="ar-TN"/>
        </w:rPr>
        <w:t>NG =AN + PC +RG +</w:t>
      </w:r>
      <w:proofErr w:type="spellStart"/>
      <w:r>
        <w:rPr>
          <w:b/>
          <w:bCs/>
          <w:lang w:val="en-US" w:bidi="ar-TN"/>
        </w:rPr>
        <w:t>P</w:t>
      </w:r>
      <w:r w:rsidR="00A75AAD">
        <w:rPr>
          <w:b/>
          <w:bCs/>
          <w:lang w:val="en-US" w:bidi="ar-TN"/>
        </w:rPr>
        <w:t>r</w:t>
      </w:r>
      <w:proofErr w:type="spellEnd"/>
    </w:p>
    <w:p w:rsidR="008236D2" w:rsidRPr="00C26FD6" w:rsidRDefault="008236D2" w:rsidP="008236D2">
      <w:pPr>
        <w:rPr>
          <w:lang w:val="en-US" w:eastAsia="fr-FR" w:bidi="ar-TN"/>
        </w:rPr>
      </w:pPr>
    </w:p>
    <w:p w:rsidR="008236D2" w:rsidRDefault="008236D2" w:rsidP="008236D2">
      <w:pPr>
        <w:pStyle w:val="Titre4"/>
        <w:rPr>
          <w:sz w:val="24"/>
          <w:szCs w:val="24"/>
          <w:u w:val="none"/>
        </w:rPr>
      </w:pPr>
      <w:r w:rsidRPr="00CE561D">
        <w:rPr>
          <w:sz w:val="24"/>
          <w:szCs w:val="24"/>
          <w:u w:val="none"/>
        </w:rPr>
        <w:t>Modalité d’envoi des dossiers de candidature :</w:t>
      </w:r>
    </w:p>
    <w:p w:rsidR="008D6515" w:rsidRPr="008D6515" w:rsidRDefault="008D6515" w:rsidP="008D6515">
      <w:pPr>
        <w:rPr>
          <w:lang w:eastAsia="fr-FR" w:bidi="ar-TN"/>
        </w:rPr>
      </w:pPr>
    </w:p>
    <w:p w:rsidR="00E65285" w:rsidRPr="00BF57E2" w:rsidRDefault="00E65285" w:rsidP="009B3C26">
      <w:pPr>
        <w:contextualSpacing/>
        <w:rPr>
          <w:color w:val="0D0D0D"/>
          <w:lang w:bidi="ar-TN"/>
        </w:rPr>
      </w:pPr>
      <w:r w:rsidRPr="00BF57E2">
        <w:rPr>
          <w:color w:val="0D0D0D"/>
          <w:lang w:bidi="ar-TN"/>
        </w:rPr>
        <w:t xml:space="preserve">Le dernier délai de remise des offres est fixé le </w:t>
      </w:r>
      <w:r w:rsidR="009B3C26">
        <w:rPr>
          <w:b/>
          <w:bCs/>
          <w:color w:val="0D0D0D"/>
          <w:lang w:bidi="ar-TN"/>
        </w:rPr>
        <w:t>17/11/2022</w:t>
      </w:r>
      <w:r w:rsidRPr="00BF57E2">
        <w:rPr>
          <w:color w:val="0D0D0D"/>
          <w:lang w:bidi="ar-TN"/>
        </w:rPr>
        <w:t xml:space="preserve"> à dix </w:t>
      </w:r>
      <w:r w:rsidRPr="009B3C26">
        <w:rPr>
          <w:b/>
          <w:bCs/>
          <w:color w:val="0D0D0D"/>
          <w:lang w:bidi="ar-TN"/>
        </w:rPr>
        <w:t>(</w:t>
      </w:r>
      <w:r w:rsidR="009B3C26" w:rsidRPr="009B3C26">
        <w:rPr>
          <w:b/>
          <w:bCs/>
          <w:color w:val="0D0D0D"/>
          <w:lang w:bidi="ar-TN"/>
        </w:rPr>
        <w:t>10</w:t>
      </w:r>
      <w:r w:rsidR="009B3C26" w:rsidRPr="009B3C26">
        <w:rPr>
          <w:rFonts w:hint="cs"/>
          <w:b/>
          <w:bCs/>
          <w:color w:val="0D0D0D"/>
          <w:rtl/>
          <w:lang w:bidi="ar-TN"/>
        </w:rPr>
        <w:t>00</w:t>
      </w:r>
      <w:r w:rsidR="009B3C26" w:rsidRPr="009B3C26">
        <w:rPr>
          <w:rFonts w:hint="cs"/>
          <w:b/>
          <w:bCs/>
          <w:color w:val="0D0D0D"/>
          <w:rtl/>
          <w:lang w:bidi="ar-TN"/>
        </w:rPr>
        <w:t>:</w:t>
      </w:r>
      <w:r w:rsidRPr="009B3C26">
        <w:rPr>
          <w:b/>
          <w:bCs/>
          <w:color w:val="0D0D0D"/>
          <w:lang w:bidi="ar-TN"/>
        </w:rPr>
        <w:t>)</w:t>
      </w:r>
      <w:r w:rsidRPr="00BF57E2">
        <w:rPr>
          <w:color w:val="0D0D0D"/>
          <w:lang w:bidi="ar-TN"/>
        </w:rPr>
        <w:t xml:space="preserve"> heures ; </w:t>
      </w:r>
      <w:r w:rsidRPr="00BF57E2">
        <w:rPr>
          <w:b/>
          <w:bCs/>
          <w:color w:val="0D0D0D"/>
          <w:lang w:bidi="ar-TN"/>
        </w:rPr>
        <w:t>la participation à travers   la procédure en ligne TUNEPS sera fermée automatiquement le même jour à la même heure</w:t>
      </w:r>
      <w:r w:rsidRPr="00BF57E2">
        <w:rPr>
          <w:color w:val="0D0D0D"/>
          <w:lang w:bidi="ar-TN"/>
        </w:rPr>
        <w:t>.</w:t>
      </w:r>
    </w:p>
    <w:p w:rsidR="00E65285" w:rsidRPr="00BF57E2" w:rsidRDefault="00E65285" w:rsidP="00E65285">
      <w:pPr>
        <w:ind w:left="284"/>
        <w:rPr>
          <w:color w:val="0D0D0D"/>
          <w:lang w:bidi="ar-TN"/>
        </w:rPr>
      </w:pPr>
      <w:r w:rsidRPr="00BF57E2">
        <w:rPr>
          <w:color w:val="0D0D0D"/>
          <w:lang w:bidi="ar-TN"/>
        </w:rPr>
        <w:t>Toute offre parvenue après ce délai (date et heure) sera rejetée</w:t>
      </w:r>
    </w:p>
    <w:p w:rsidR="00E65285" w:rsidRPr="00BF57E2" w:rsidRDefault="00E65285" w:rsidP="00E65285">
      <w:pPr>
        <w:ind w:left="964"/>
        <w:rPr>
          <w:color w:val="0D0D0D"/>
          <w:lang w:bidi="ar-TN"/>
        </w:rPr>
      </w:pPr>
    </w:p>
    <w:p w:rsidR="00E65285" w:rsidRPr="00BF57E2" w:rsidRDefault="00E65285" w:rsidP="009B3C26">
      <w:pPr>
        <w:rPr>
          <w:lang w:bidi="ar-TN"/>
        </w:rPr>
      </w:pPr>
      <w:r w:rsidRPr="00BF57E2">
        <w:rPr>
          <w:color w:val="0D0D0D"/>
          <w:lang w:bidi="ar-TN"/>
        </w:rPr>
        <w:t xml:space="preserve">La séance d’ouverture des offres aura lieu le même jour </w:t>
      </w:r>
      <w:r w:rsidR="009B3C26">
        <w:rPr>
          <w:b/>
          <w:bCs/>
          <w:color w:val="0D0D0D"/>
          <w:lang w:bidi="ar-TN"/>
        </w:rPr>
        <w:t>17/11/2022</w:t>
      </w:r>
      <w:r w:rsidRPr="00BF57E2">
        <w:rPr>
          <w:color w:val="0D0D0D"/>
          <w:lang w:bidi="ar-TN"/>
        </w:rPr>
        <w:t xml:space="preserve"> à </w:t>
      </w:r>
      <w:bookmarkStart w:id="0" w:name="_GoBack"/>
      <w:r w:rsidR="009B3C26" w:rsidRPr="009B3C26">
        <w:rPr>
          <w:b/>
          <w:bCs/>
          <w:color w:val="0D0D0D"/>
          <w:lang w:bidi="ar-TN"/>
        </w:rPr>
        <w:t>10</w:t>
      </w:r>
      <w:r w:rsidR="009B3C26">
        <w:rPr>
          <w:rFonts w:hint="cs"/>
          <w:b/>
          <w:bCs/>
          <w:color w:val="0D0D0D"/>
          <w:rtl/>
          <w:lang w:bidi="ar-TN"/>
        </w:rPr>
        <w:t>30</w:t>
      </w:r>
      <w:r w:rsidR="009B3C26" w:rsidRPr="009B3C26">
        <w:rPr>
          <w:rFonts w:hint="cs"/>
          <w:b/>
          <w:bCs/>
          <w:color w:val="0D0D0D"/>
          <w:rtl/>
          <w:lang w:bidi="ar-TN"/>
        </w:rPr>
        <w:t>:</w:t>
      </w:r>
      <w:r w:rsidRPr="00BF57E2">
        <w:rPr>
          <w:color w:val="0D0D0D"/>
          <w:lang w:bidi="ar-TN"/>
        </w:rPr>
        <w:t xml:space="preserve"> </w:t>
      </w:r>
      <w:bookmarkEnd w:id="0"/>
      <w:proofErr w:type="gramStart"/>
      <w:r w:rsidRPr="00BF57E2">
        <w:rPr>
          <w:color w:val="0D0D0D"/>
          <w:lang w:bidi="ar-TN"/>
        </w:rPr>
        <w:t>heures  au</w:t>
      </w:r>
      <w:proofErr w:type="gramEnd"/>
      <w:r w:rsidRPr="00BF57E2">
        <w:rPr>
          <w:color w:val="0D0D0D"/>
          <w:lang w:bidi="ar-TN"/>
        </w:rPr>
        <w:t xml:space="preserve"> </w:t>
      </w:r>
      <w:r w:rsidRPr="00BF57E2">
        <w:rPr>
          <w:lang w:bidi="ar-TN"/>
        </w:rPr>
        <w:t xml:space="preserve">Siege du Gouvernorat de Nabeul à l'adresse suivante: </w:t>
      </w:r>
    </w:p>
    <w:p w:rsidR="00E65285" w:rsidRPr="00BF57E2" w:rsidRDefault="00E65285" w:rsidP="00E65285">
      <w:pPr>
        <w:ind w:left="720"/>
        <w:jc w:val="center"/>
        <w:rPr>
          <w:b/>
          <w:bCs/>
          <w:lang w:bidi="ar-TN"/>
        </w:rPr>
      </w:pPr>
      <w:r w:rsidRPr="00BF57E2">
        <w:rPr>
          <w:b/>
          <w:bCs/>
          <w:lang w:bidi="ar-TN"/>
        </w:rPr>
        <w:t>Gouvernorat de Nabeul, Avenue Taieb M’</w:t>
      </w:r>
      <w:proofErr w:type="spellStart"/>
      <w:r w:rsidRPr="00BF57E2">
        <w:rPr>
          <w:b/>
          <w:bCs/>
          <w:lang w:bidi="ar-TN"/>
        </w:rPr>
        <w:t>hiri</w:t>
      </w:r>
      <w:proofErr w:type="spellEnd"/>
      <w:r w:rsidRPr="00BF57E2">
        <w:rPr>
          <w:b/>
          <w:bCs/>
          <w:lang w:bidi="ar-TN"/>
        </w:rPr>
        <w:t xml:space="preserve"> 800 Nabeul</w:t>
      </w:r>
    </w:p>
    <w:p w:rsidR="00E65285" w:rsidRPr="00BF57E2" w:rsidRDefault="00E65285" w:rsidP="00E65285">
      <w:pPr>
        <w:ind w:left="360" w:right="51"/>
        <w:contextualSpacing/>
        <w:jc w:val="both"/>
        <w:rPr>
          <w:color w:val="0D0D0D"/>
          <w:lang w:bidi="ar-TN"/>
        </w:rPr>
      </w:pPr>
    </w:p>
    <w:p w:rsidR="00E65285" w:rsidRPr="00BF57E2" w:rsidRDefault="00E65285" w:rsidP="00E65285">
      <w:pPr>
        <w:ind w:left="1003" w:right="51"/>
        <w:contextualSpacing/>
        <w:jc w:val="both"/>
        <w:rPr>
          <w:color w:val="0D0D0D"/>
          <w:lang w:bidi="ar-TN"/>
        </w:rPr>
      </w:pPr>
    </w:p>
    <w:p w:rsidR="00174C59" w:rsidRPr="00E65285" w:rsidRDefault="00E65285" w:rsidP="00E65285">
      <w:pPr>
        <w:ind w:right="51"/>
        <w:jc w:val="both"/>
        <w:rPr>
          <w:b/>
          <w:bCs/>
          <w:color w:val="0D0D0D"/>
          <w:lang w:bidi="ar-TN"/>
        </w:rPr>
      </w:pPr>
      <w:r w:rsidRPr="00BF57E2">
        <w:rPr>
          <w:b/>
          <w:bCs/>
          <w:color w:val="0D0D0D"/>
          <w:lang w:bidi="ar-TN"/>
        </w:rPr>
        <w:t xml:space="preserve">Pour plus d’informations sur la procédure d’achats publics en ligne TUNEPS, vous pouvez contacter le centre d’appel relevant de l’unité de l’achat public en ligne à la Haute Instance de l’Achat Public sur le numéro de tél 71566364 et le mail : </w:t>
      </w:r>
      <w:hyperlink r:id="rId5" w:history="1">
        <w:r w:rsidRPr="00BF57E2">
          <w:rPr>
            <w:color w:val="0000FF"/>
            <w:u w:val="single"/>
            <w:lang w:bidi="ar-TN"/>
          </w:rPr>
          <w:t>tuneps@pm.gov.tn</w:t>
        </w:r>
      </w:hyperlink>
    </w:p>
    <w:sectPr w:rsidR="00174C59" w:rsidRPr="00E65285" w:rsidSect="008236D2">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305FA"/>
    <w:multiLevelType w:val="hybridMultilevel"/>
    <w:tmpl w:val="9AE2711E"/>
    <w:lvl w:ilvl="0" w:tplc="2D661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53E0F1D"/>
    <w:multiLevelType w:val="hybridMultilevel"/>
    <w:tmpl w:val="7E701646"/>
    <w:lvl w:ilvl="0" w:tplc="040C000B">
      <w:start w:val="1"/>
      <w:numFmt w:val="bullet"/>
      <w:lvlText w:val=""/>
      <w:lvlJc w:val="left"/>
      <w:pPr>
        <w:ind w:left="360" w:hanging="360"/>
      </w:pPr>
      <w:rPr>
        <w:rFonts w:ascii="Wingdings" w:hAnsi="Wingdings" w:hint="default"/>
        <w:b/>
      </w:rPr>
    </w:lvl>
    <w:lvl w:ilvl="1" w:tplc="040C0019" w:tentative="1">
      <w:start w:val="1"/>
      <w:numFmt w:val="lowerLetter"/>
      <w:lvlText w:val="%2."/>
      <w:lvlJc w:val="left"/>
      <w:pPr>
        <w:ind w:left="1043" w:hanging="360"/>
      </w:pPr>
    </w:lvl>
    <w:lvl w:ilvl="2" w:tplc="040C001B" w:tentative="1">
      <w:start w:val="1"/>
      <w:numFmt w:val="lowerRoman"/>
      <w:lvlText w:val="%3."/>
      <w:lvlJc w:val="right"/>
      <w:pPr>
        <w:ind w:left="1763" w:hanging="180"/>
      </w:pPr>
    </w:lvl>
    <w:lvl w:ilvl="3" w:tplc="040C000F" w:tentative="1">
      <w:start w:val="1"/>
      <w:numFmt w:val="decimal"/>
      <w:lvlText w:val="%4."/>
      <w:lvlJc w:val="left"/>
      <w:pPr>
        <w:ind w:left="2483" w:hanging="360"/>
      </w:pPr>
    </w:lvl>
    <w:lvl w:ilvl="4" w:tplc="040C0019" w:tentative="1">
      <w:start w:val="1"/>
      <w:numFmt w:val="lowerLetter"/>
      <w:lvlText w:val="%5."/>
      <w:lvlJc w:val="left"/>
      <w:pPr>
        <w:ind w:left="3203" w:hanging="360"/>
      </w:pPr>
    </w:lvl>
    <w:lvl w:ilvl="5" w:tplc="040C001B" w:tentative="1">
      <w:start w:val="1"/>
      <w:numFmt w:val="lowerRoman"/>
      <w:lvlText w:val="%6."/>
      <w:lvlJc w:val="right"/>
      <w:pPr>
        <w:ind w:left="3923" w:hanging="180"/>
      </w:pPr>
    </w:lvl>
    <w:lvl w:ilvl="6" w:tplc="040C000F" w:tentative="1">
      <w:start w:val="1"/>
      <w:numFmt w:val="decimal"/>
      <w:lvlText w:val="%7."/>
      <w:lvlJc w:val="left"/>
      <w:pPr>
        <w:ind w:left="4643" w:hanging="360"/>
      </w:pPr>
    </w:lvl>
    <w:lvl w:ilvl="7" w:tplc="040C0019" w:tentative="1">
      <w:start w:val="1"/>
      <w:numFmt w:val="lowerLetter"/>
      <w:lvlText w:val="%8."/>
      <w:lvlJc w:val="left"/>
      <w:pPr>
        <w:ind w:left="5363" w:hanging="360"/>
      </w:pPr>
    </w:lvl>
    <w:lvl w:ilvl="8" w:tplc="040C001B" w:tentative="1">
      <w:start w:val="1"/>
      <w:numFmt w:val="lowerRoman"/>
      <w:lvlText w:val="%9."/>
      <w:lvlJc w:val="right"/>
      <w:pPr>
        <w:ind w:left="608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61"/>
    <w:rsid w:val="0005697D"/>
    <w:rsid w:val="00174C59"/>
    <w:rsid w:val="00483ACD"/>
    <w:rsid w:val="008236D2"/>
    <w:rsid w:val="008D6515"/>
    <w:rsid w:val="009B3C26"/>
    <w:rsid w:val="009E2861"/>
    <w:rsid w:val="00A75AAD"/>
    <w:rsid w:val="00E652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
  <w:listSeparator w:val=";"/>
  <w15:chartTrackingRefBased/>
  <w15:docId w15:val="{EA6437E6-439B-404A-9049-16B3757A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6D2"/>
    <w:pPr>
      <w:spacing w:after="0" w:line="240" w:lineRule="auto"/>
    </w:pPr>
    <w:rPr>
      <w:rFonts w:ascii="Times New Roman" w:eastAsia="SimSun" w:hAnsi="Times New Roman" w:cs="Times New Roman"/>
      <w:sz w:val="24"/>
      <w:szCs w:val="24"/>
      <w:lang w:eastAsia="zh-CN"/>
    </w:rPr>
  </w:style>
  <w:style w:type="paragraph" w:styleId="Titre2">
    <w:name w:val="heading 2"/>
    <w:basedOn w:val="Normal"/>
    <w:next w:val="Normal"/>
    <w:link w:val="Titre2Car"/>
    <w:qFormat/>
    <w:rsid w:val="008236D2"/>
    <w:pPr>
      <w:keepNext/>
      <w:spacing w:line="360" w:lineRule="auto"/>
      <w:jc w:val="center"/>
      <w:outlineLvl w:val="1"/>
    </w:pPr>
    <w:rPr>
      <w:rFonts w:eastAsia="Times New Roman"/>
      <w:b/>
      <w:bCs/>
      <w:sz w:val="28"/>
      <w:szCs w:val="28"/>
      <w:lang w:eastAsia="fr-FR" w:bidi="ar-TN"/>
    </w:rPr>
  </w:style>
  <w:style w:type="paragraph" w:styleId="Titre4">
    <w:name w:val="heading 4"/>
    <w:basedOn w:val="Normal"/>
    <w:next w:val="Normal"/>
    <w:link w:val="Titre4Car"/>
    <w:qFormat/>
    <w:rsid w:val="008236D2"/>
    <w:pPr>
      <w:keepNext/>
      <w:spacing w:line="360" w:lineRule="auto"/>
      <w:jc w:val="both"/>
      <w:outlineLvl w:val="3"/>
    </w:pPr>
    <w:rPr>
      <w:rFonts w:eastAsia="Times New Roman"/>
      <w:b/>
      <w:bCs/>
      <w:sz w:val="28"/>
      <w:szCs w:val="28"/>
      <w:u w:val="single"/>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236D2"/>
    <w:rPr>
      <w:rFonts w:ascii="Times New Roman" w:eastAsia="Times New Roman" w:hAnsi="Times New Roman" w:cs="Times New Roman"/>
      <w:b/>
      <w:bCs/>
      <w:sz w:val="28"/>
      <w:szCs w:val="28"/>
      <w:lang w:eastAsia="fr-FR" w:bidi="ar-TN"/>
    </w:rPr>
  </w:style>
  <w:style w:type="character" w:customStyle="1" w:styleId="Titre4Car">
    <w:name w:val="Titre 4 Car"/>
    <w:basedOn w:val="Policepardfaut"/>
    <w:link w:val="Titre4"/>
    <w:rsid w:val="008236D2"/>
    <w:rPr>
      <w:rFonts w:ascii="Times New Roman" w:eastAsia="Times New Roman" w:hAnsi="Times New Roman" w:cs="Times New Roman"/>
      <w:b/>
      <w:bCs/>
      <w:sz w:val="28"/>
      <w:szCs w:val="28"/>
      <w:u w:val="single"/>
      <w:lang w:eastAsia="fr-FR" w:bidi="ar-TN"/>
    </w:rPr>
  </w:style>
  <w:style w:type="paragraph" w:styleId="Corpsdetexte">
    <w:name w:val="Body Text"/>
    <w:basedOn w:val="Normal"/>
    <w:link w:val="CorpsdetexteCar"/>
    <w:rsid w:val="008236D2"/>
    <w:pPr>
      <w:spacing w:line="360" w:lineRule="auto"/>
      <w:jc w:val="both"/>
    </w:pPr>
    <w:rPr>
      <w:rFonts w:eastAsia="Times New Roman"/>
      <w:sz w:val="28"/>
      <w:szCs w:val="28"/>
      <w:lang w:eastAsia="fr-FR" w:bidi="ar-TN"/>
    </w:rPr>
  </w:style>
  <w:style w:type="character" w:customStyle="1" w:styleId="CorpsdetexteCar">
    <w:name w:val="Corps de texte Car"/>
    <w:basedOn w:val="Policepardfaut"/>
    <w:link w:val="Corpsdetexte"/>
    <w:rsid w:val="008236D2"/>
    <w:rPr>
      <w:rFonts w:ascii="Times New Roman" w:eastAsia="Times New Roman" w:hAnsi="Times New Roman" w:cs="Times New Roman"/>
      <w:sz w:val="28"/>
      <w:szCs w:val="28"/>
      <w:lang w:eastAsia="fr-FR" w:bidi="ar-TN"/>
    </w:rPr>
  </w:style>
  <w:style w:type="paragraph" w:styleId="Corpsdetexte2">
    <w:name w:val="Body Text 2"/>
    <w:basedOn w:val="Normal"/>
    <w:link w:val="Corpsdetexte2Car"/>
    <w:uiPriority w:val="99"/>
    <w:semiHidden/>
    <w:unhideWhenUsed/>
    <w:rsid w:val="00E65285"/>
    <w:pPr>
      <w:spacing w:after="120" w:line="480" w:lineRule="auto"/>
    </w:pPr>
  </w:style>
  <w:style w:type="character" w:customStyle="1" w:styleId="Corpsdetexte2Car">
    <w:name w:val="Corps de texte 2 Car"/>
    <w:basedOn w:val="Policepardfaut"/>
    <w:link w:val="Corpsdetexte2"/>
    <w:uiPriority w:val="99"/>
    <w:semiHidden/>
    <w:rsid w:val="00E65285"/>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neps@pm.gov.t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715</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9</cp:revision>
  <dcterms:created xsi:type="dcterms:W3CDTF">2022-05-27T08:03:00Z</dcterms:created>
  <dcterms:modified xsi:type="dcterms:W3CDTF">2022-10-17T09:25:00Z</dcterms:modified>
</cp:coreProperties>
</file>