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16" w:rsidRDefault="00C62716" w:rsidP="00B8151D">
      <w:pPr>
        <w:pStyle w:val="Titre"/>
        <w:outlineLvl w:val="0"/>
        <w:rPr>
          <w:rFonts w:asciiTheme="majorBidi" w:hAnsiTheme="majorBidi" w:cstheme="majorBidi"/>
          <w:i w:val="0"/>
          <w:iCs w:val="0"/>
          <w:sz w:val="36"/>
          <w:szCs w:val="36"/>
          <w:u w:val="single"/>
        </w:rPr>
      </w:pPr>
    </w:p>
    <w:p w:rsidR="007271FA" w:rsidRDefault="007271FA" w:rsidP="00B8151D">
      <w:pPr>
        <w:pStyle w:val="Titre"/>
        <w:outlineLvl w:val="0"/>
        <w:rPr>
          <w:rFonts w:asciiTheme="majorBidi" w:hAnsiTheme="majorBidi" w:cstheme="majorBidi"/>
          <w:i w:val="0"/>
          <w:iCs w:val="0"/>
          <w:sz w:val="36"/>
          <w:szCs w:val="36"/>
          <w:u w:val="single"/>
        </w:rPr>
      </w:pPr>
    </w:p>
    <w:p w:rsidR="00B8151D" w:rsidRDefault="00B8151D" w:rsidP="00B8151D">
      <w:pPr>
        <w:pStyle w:val="Titre"/>
        <w:outlineLvl w:val="0"/>
        <w:rPr>
          <w:rFonts w:asciiTheme="majorBidi" w:hAnsiTheme="majorBidi" w:cstheme="majorBidi"/>
          <w:i w:val="0"/>
          <w:iCs w:val="0"/>
          <w:sz w:val="36"/>
          <w:szCs w:val="36"/>
          <w:u w:val="single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  <w:u w:val="single"/>
        </w:rPr>
        <w:t xml:space="preserve">INSTITUT HEDI RAIS D’OPHTALMOLOGIE DE TUNIS </w:t>
      </w:r>
    </w:p>
    <w:p w:rsidR="00B8151D" w:rsidRPr="00454F87" w:rsidRDefault="00454F87" w:rsidP="00574BD2">
      <w:pPr>
        <w:pStyle w:val="Titre"/>
        <w:outlineLvl w:val="0"/>
        <w:rPr>
          <w:rFonts w:asciiTheme="majorBidi" w:hAnsiTheme="majorBidi" w:cstheme="majorBidi"/>
          <w:b/>
          <w:bCs/>
          <w:sz w:val="27"/>
          <w:szCs w:val="27"/>
        </w:rPr>
      </w:pPr>
      <w:r w:rsidRPr="00454F87">
        <w:rPr>
          <w:rFonts w:asciiTheme="majorBidi" w:hAnsiTheme="majorBidi" w:cstheme="majorBidi"/>
          <w:b/>
          <w:bCs/>
          <w:sz w:val="27"/>
          <w:szCs w:val="27"/>
        </w:rPr>
        <w:t xml:space="preserve">AVIS DE </w:t>
      </w:r>
      <w:r>
        <w:rPr>
          <w:rFonts w:asciiTheme="majorBidi" w:hAnsiTheme="majorBidi" w:cstheme="majorBidi"/>
          <w:b/>
          <w:bCs/>
          <w:sz w:val="27"/>
          <w:szCs w:val="27"/>
        </w:rPr>
        <w:t xml:space="preserve">L’AON° </w:t>
      </w:r>
      <w:r w:rsidR="00B8151D" w:rsidRPr="00454F87">
        <w:rPr>
          <w:rFonts w:asciiTheme="majorBidi" w:hAnsiTheme="majorBidi" w:cstheme="majorBidi"/>
          <w:b/>
          <w:bCs/>
          <w:i w:val="0"/>
          <w:iCs w:val="0"/>
          <w:sz w:val="27"/>
          <w:szCs w:val="27"/>
          <w:u w:val="single"/>
        </w:rPr>
        <w:t xml:space="preserve"> </w:t>
      </w:r>
      <w:r w:rsidR="00574BD2">
        <w:rPr>
          <w:rFonts w:asciiTheme="majorBidi" w:hAnsiTheme="majorBidi" w:cstheme="majorBidi"/>
          <w:b/>
          <w:bCs/>
          <w:sz w:val="27"/>
          <w:szCs w:val="27"/>
          <w:u w:val="single"/>
        </w:rPr>
        <w:t xml:space="preserve">03/2023 </w:t>
      </w:r>
      <w:r w:rsidR="0096217B" w:rsidRPr="0096217B">
        <w:rPr>
          <w:rFonts w:asciiTheme="majorBidi" w:hAnsiTheme="majorBidi" w:cstheme="majorBidi"/>
          <w:b/>
          <w:bCs/>
          <w:i w:val="0"/>
          <w:iCs w:val="0"/>
          <w:sz w:val="27"/>
          <w:szCs w:val="27"/>
          <w:u w:val="single"/>
        </w:rPr>
        <w:t xml:space="preserve"> </w:t>
      </w:r>
    </w:p>
    <w:p w:rsidR="00B8151D" w:rsidRPr="00454F87" w:rsidRDefault="00B8151D" w:rsidP="00B8151D">
      <w:pPr>
        <w:pStyle w:val="Titre"/>
        <w:outlineLvl w:val="0"/>
        <w:rPr>
          <w:rFonts w:asciiTheme="majorBidi" w:hAnsiTheme="majorBidi" w:cstheme="majorBidi"/>
          <w:i w:val="0"/>
          <w:iCs w:val="0"/>
          <w:sz w:val="27"/>
          <w:szCs w:val="27"/>
          <w:u w:val="single"/>
        </w:rPr>
      </w:pPr>
    </w:p>
    <w:p w:rsidR="00574BD2" w:rsidRDefault="00554FE1" w:rsidP="00574BD2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</w:t>
      </w:r>
      <w:r w:rsidR="00B8151D" w:rsidRPr="00C62716">
        <w:rPr>
          <w:rFonts w:asciiTheme="majorBidi" w:hAnsiTheme="majorBidi" w:cstheme="majorBidi"/>
          <w:sz w:val="32"/>
          <w:szCs w:val="32"/>
        </w:rPr>
        <w:t>’Institut Hed</w:t>
      </w:r>
      <w:r w:rsidR="00086D53">
        <w:rPr>
          <w:rFonts w:asciiTheme="majorBidi" w:hAnsiTheme="majorBidi" w:cstheme="majorBidi"/>
          <w:sz w:val="32"/>
          <w:szCs w:val="32"/>
        </w:rPr>
        <w:t>i Rais d’Ophtalmologie de Tunis</w:t>
      </w:r>
      <w:r w:rsidR="00B8151D" w:rsidRPr="00C62716">
        <w:rPr>
          <w:rFonts w:asciiTheme="majorBidi" w:hAnsiTheme="majorBidi" w:cstheme="majorBidi"/>
          <w:sz w:val="32"/>
          <w:szCs w:val="32"/>
        </w:rPr>
        <w:t xml:space="preserve"> </w:t>
      </w:r>
      <w:r w:rsidR="003C33A6">
        <w:rPr>
          <w:rFonts w:asciiTheme="majorBidi" w:hAnsiTheme="majorBidi" w:cstheme="majorBidi"/>
          <w:sz w:val="32"/>
          <w:szCs w:val="32"/>
          <w:u w:val="single"/>
        </w:rPr>
        <w:t xml:space="preserve">se propose de lancer un appel d’offres </w:t>
      </w:r>
      <w:r w:rsidR="00B8151D" w:rsidRPr="00C62716">
        <w:rPr>
          <w:rFonts w:asciiTheme="majorBidi" w:hAnsiTheme="majorBidi" w:cstheme="majorBidi"/>
          <w:sz w:val="32"/>
          <w:szCs w:val="32"/>
        </w:rPr>
        <w:t xml:space="preserve">national </w:t>
      </w:r>
      <w:r w:rsidR="00866317">
        <w:rPr>
          <w:rFonts w:asciiTheme="majorBidi" w:hAnsiTheme="majorBidi" w:cstheme="majorBidi"/>
          <w:sz w:val="32"/>
          <w:szCs w:val="32"/>
        </w:rPr>
        <w:t>n°</w:t>
      </w:r>
      <w:r w:rsidR="00574BD2">
        <w:rPr>
          <w:rFonts w:asciiTheme="majorBidi" w:hAnsiTheme="majorBidi" w:cstheme="majorBidi"/>
          <w:sz w:val="32"/>
          <w:szCs w:val="32"/>
        </w:rPr>
        <w:t>03/2023</w:t>
      </w:r>
      <w:r w:rsidR="00866317">
        <w:rPr>
          <w:rFonts w:asciiTheme="majorBidi" w:hAnsiTheme="majorBidi" w:cstheme="majorBidi"/>
          <w:sz w:val="32"/>
          <w:szCs w:val="32"/>
        </w:rPr>
        <w:t xml:space="preserve"> </w:t>
      </w:r>
      <w:r w:rsidR="00574BD2">
        <w:rPr>
          <w:rFonts w:asciiTheme="majorBidi" w:hAnsiTheme="majorBidi" w:cstheme="majorBidi"/>
          <w:sz w:val="32"/>
          <w:szCs w:val="32"/>
        </w:rPr>
        <w:t>composé de deux lots :</w:t>
      </w:r>
    </w:p>
    <w:p w:rsidR="00574BD2" w:rsidRDefault="00574BD2" w:rsidP="00574BD2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</w:p>
    <w:p w:rsidR="00574BD2" w:rsidRDefault="00574BD2" w:rsidP="00983606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Lot n°1 : fournitures de bureaux et </w:t>
      </w:r>
      <w:proofErr w:type="spellStart"/>
      <w:r>
        <w:rPr>
          <w:rFonts w:asciiTheme="majorBidi" w:hAnsiTheme="majorBidi" w:cstheme="majorBidi"/>
          <w:sz w:val="32"/>
          <w:szCs w:val="32"/>
        </w:rPr>
        <w:t>papiterie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983606">
        <w:rPr>
          <w:rFonts w:asciiTheme="majorBidi" w:hAnsiTheme="majorBidi" w:cstheme="majorBidi"/>
          <w:sz w:val="32"/>
          <w:szCs w:val="32"/>
        </w:rPr>
        <w:t>(composé de 69 articles du N°1 à N°69)</w:t>
      </w:r>
    </w:p>
    <w:p w:rsidR="00983606" w:rsidRPr="00983606" w:rsidRDefault="00574BD2" w:rsidP="00983606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Lot n°2 : accessoires informatiques et consommables des imprimantes </w:t>
      </w:r>
      <w:r w:rsidR="000C6251">
        <w:rPr>
          <w:rFonts w:asciiTheme="majorBidi" w:hAnsiTheme="majorBidi" w:cstheme="majorBidi"/>
          <w:sz w:val="32"/>
          <w:szCs w:val="32"/>
        </w:rPr>
        <w:t>disponibles</w:t>
      </w:r>
      <w:r w:rsidR="00983606">
        <w:rPr>
          <w:rFonts w:asciiTheme="majorBidi" w:hAnsiTheme="majorBidi" w:cstheme="majorBidi"/>
          <w:sz w:val="32"/>
          <w:szCs w:val="32"/>
        </w:rPr>
        <w:t xml:space="preserve"> </w:t>
      </w:r>
      <w:r w:rsidR="00983606" w:rsidRPr="00983606">
        <w:rPr>
          <w:rFonts w:asciiTheme="majorBidi" w:hAnsiTheme="majorBidi" w:cstheme="majorBidi"/>
          <w:sz w:val="32"/>
          <w:szCs w:val="32"/>
        </w:rPr>
        <w:t xml:space="preserve">(composé de </w:t>
      </w:r>
      <w:r w:rsidR="00983606">
        <w:rPr>
          <w:rFonts w:asciiTheme="majorBidi" w:hAnsiTheme="majorBidi" w:cstheme="majorBidi"/>
          <w:sz w:val="32"/>
          <w:szCs w:val="32"/>
        </w:rPr>
        <w:t>52</w:t>
      </w:r>
      <w:r w:rsidR="00983606" w:rsidRPr="00983606">
        <w:rPr>
          <w:rFonts w:asciiTheme="majorBidi" w:hAnsiTheme="majorBidi" w:cstheme="majorBidi"/>
          <w:sz w:val="32"/>
          <w:szCs w:val="32"/>
        </w:rPr>
        <w:t xml:space="preserve"> articles du N</w:t>
      </w:r>
      <w:r w:rsidR="00983606">
        <w:rPr>
          <w:rFonts w:asciiTheme="majorBidi" w:hAnsiTheme="majorBidi" w:cstheme="majorBidi"/>
          <w:sz w:val="32"/>
          <w:szCs w:val="32"/>
        </w:rPr>
        <w:t>°70</w:t>
      </w:r>
      <w:r w:rsidR="00983606" w:rsidRPr="00983606">
        <w:rPr>
          <w:rFonts w:asciiTheme="majorBidi" w:hAnsiTheme="majorBidi" w:cstheme="majorBidi"/>
          <w:sz w:val="32"/>
          <w:szCs w:val="32"/>
        </w:rPr>
        <w:t xml:space="preserve"> à N°</w:t>
      </w:r>
      <w:r w:rsidR="00983606">
        <w:rPr>
          <w:rFonts w:asciiTheme="majorBidi" w:hAnsiTheme="majorBidi" w:cstheme="majorBidi"/>
          <w:sz w:val="32"/>
          <w:szCs w:val="32"/>
        </w:rPr>
        <w:t>121</w:t>
      </w:r>
      <w:r w:rsidR="00983606" w:rsidRPr="00983606">
        <w:rPr>
          <w:rFonts w:asciiTheme="majorBidi" w:hAnsiTheme="majorBidi" w:cstheme="majorBidi"/>
          <w:sz w:val="32"/>
          <w:szCs w:val="32"/>
        </w:rPr>
        <w:t>)</w:t>
      </w:r>
    </w:p>
    <w:p w:rsidR="00574BD2" w:rsidRDefault="00574BD2" w:rsidP="00574BD2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</w:p>
    <w:p w:rsidR="00574BD2" w:rsidRDefault="00574BD2" w:rsidP="00574BD2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</w:p>
    <w:p w:rsidR="00574BD2" w:rsidRDefault="00AF1809" w:rsidP="000C6251">
      <w:pPr>
        <w:ind w:right="360"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</w:rPr>
        <w:t xml:space="preserve"> (</w:t>
      </w:r>
      <w:r w:rsidR="00B8151D" w:rsidRPr="00C62716">
        <w:rPr>
          <w:rFonts w:asciiTheme="majorBidi" w:hAnsiTheme="majorBidi" w:cstheme="majorBidi"/>
          <w:sz w:val="32"/>
          <w:szCs w:val="32"/>
          <w:lang w:eastAsia="en-US"/>
        </w:rPr>
        <w:t>Les soumissionnaires intéressés peuvent télécharger  gratuitement  le doss</w:t>
      </w:r>
      <w:r w:rsidR="000C6251">
        <w:rPr>
          <w:rFonts w:asciiTheme="majorBidi" w:hAnsiTheme="majorBidi" w:cstheme="majorBidi"/>
          <w:sz w:val="32"/>
          <w:szCs w:val="32"/>
          <w:lang w:eastAsia="en-US"/>
        </w:rPr>
        <w:t>ier d’appel d’offres en ligne  à</w:t>
      </w:r>
      <w:r w:rsidR="00B8151D" w:rsidRPr="00C62716">
        <w:rPr>
          <w:rFonts w:asciiTheme="majorBidi" w:hAnsiTheme="majorBidi" w:cstheme="majorBidi"/>
          <w:sz w:val="32"/>
          <w:szCs w:val="32"/>
          <w:lang w:eastAsia="en-US"/>
        </w:rPr>
        <w:t xml:space="preserve"> travers la plateforme « TUNEPS » </w:t>
      </w:r>
      <w:r w:rsidR="000C6251">
        <w:rPr>
          <w:rFonts w:asciiTheme="majorBidi" w:hAnsiTheme="majorBidi" w:cstheme="majorBidi"/>
          <w:sz w:val="32"/>
          <w:szCs w:val="32"/>
          <w:lang w:eastAsia="en-US"/>
        </w:rPr>
        <w:t>des sa publication.</w:t>
      </w:r>
    </w:p>
    <w:p w:rsidR="00574BD2" w:rsidRDefault="00B8151D" w:rsidP="00574BD2">
      <w:pPr>
        <w:ind w:right="360"/>
        <w:jc w:val="both"/>
        <w:rPr>
          <w:rFonts w:asciiTheme="majorBidi" w:hAnsiTheme="majorBidi" w:cstheme="majorBidi"/>
          <w:sz w:val="32"/>
          <w:szCs w:val="32"/>
        </w:rPr>
      </w:pPr>
      <w:r w:rsidRPr="00C62716">
        <w:rPr>
          <w:rFonts w:asciiTheme="majorBidi" w:hAnsiTheme="majorBidi" w:cstheme="majorBidi"/>
          <w:sz w:val="32"/>
          <w:szCs w:val="32"/>
          <w:lang w:eastAsia="en-US"/>
        </w:rPr>
        <w:t xml:space="preserve">  </w:t>
      </w:r>
    </w:p>
    <w:p w:rsidR="00FD57B2" w:rsidRDefault="00FD57B2" w:rsidP="00574BD2">
      <w:pPr>
        <w:tabs>
          <w:tab w:val="left" w:pos="-720"/>
          <w:tab w:val="left" w:pos="0"/>
        </w:tabs>
        <w:suppressAutoHyphens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Les offres techniques et financières doivent être envoyées via TUNEPS sauf pour la caution provisoire et le registre </w:t>
      </w:r>
      <w:r w:rsidR="00574BD2">
        <w:rPr>
          <w:rFonts w:asciiTheme="majorBidi" w:hAnsiTheme="majorBidi" w:cstheme="majorBidi"/>
          <w:sz w:val="32"/>
          <w:szCs w:val="32"/>
        </w:rPr>
        <w:t xml:space="preserve">Nationale des entreprises ainsi que </w:t>
      </w:r>
      <w:r>
        <w:rPr>
          <w:rFonts w:asciiTheme="majorBidi" w:hAnsiTheme="majorBidi" w:cstheme="majorBidi"/>
          <w:sz w:val="32"/>
          <w:szCs w:val="32"/>
        </w:rPr>
        <w:t xml:space="preserve"> que tout autre document non téléchargeable par la TUNEPS</w:t>
      </w:r>
      <w:r w:rsidR="000C6251">
        <w:rPr>
          <w:rFonts w:asciiTheme="majorBidi" w:hAnsiTheme="majorBidi" w:cstheme="majorBidi"/>
          <w:sz w:val="32"/>
          <w:szCs w:val="32"/>
        </w:rPr>
        <w:t xml:space="preserve">(qui dépassent la capacité de 20 mo) </w:t>
      </w:r>
      <w:r>
        <w:rPr>
          <w:rFonts w:asciiTheme="majorBidi" w:hAnsiTheme="majorBidi" w:cstheme="majorBidi"/>
          <w:sz w:val="32"/>
          <w:szCs w:val="32"/>
        </w:rPr>
        <w:t>, seront placés dans une enveloppe scellés, cachetée et envoyée par voie postale et recommandée ou par rapide poste ou remise directement au bureau d’ord</w:t>
      </w:r>
      <w:r w:rsidR="001C5833">
        <w:rPr>
          <w:rFonts w:asciiTheme="majorBidi" w:hAnsiTheme="majorBidi" w:cstheme="majorBidi"/>
          <w:sz w:val="32"/>
          <w:szCs w:val="32"/>
        </w:rPr>
        <w:t>re central à l’adresse suivante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FD57B2" w:rsidRDefault="00FD57B2" w:rsidP="00FD57B2">
      <w:pPr>
        <w:tabs>
          <w:tab w:val="left" w:pos="-720"/>
          <w:tab w:val="left" w:pos="0"/>
        </w:tabs>
        <w:suppressAutoHyphens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Institut Hedi rais d’ophtalmologie de Tunis,</w:t>
      </w:r>
    </w:p>
    <w:p w:rsidR="00FD57B2" w:rsidRDefault="00FD57B2" w:rsidP="00FD57B2">
      <w:pPr>
        <w:tabs>
          <w:tab w:val="left" w:pos="-720"/>
          <w:tab w:val="left" w:pos="0"/>
        </w:tabs>
        <w:suppressAutoHyphens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Place Bab Saadoun, AV 9 avril 1006 </w:t>
      </w:r>
      <w:r w:rsidR="001B4BA8">
        <w:rPr>
          <w:rFonts w:asciiTheme="majorBidi" w:hAnsiTheme="majorBidi" w:cstheme="majorBidi"/>
          <w:sz w:val="32"/>
          <w:szCs w:val="32"/>
        </w:rPr>
        <w:t>Tunis.</w:t>
      </w:r>
    </w:p>
    <w:p w:rsidR="00FD57B2" w:rsidRDefault="00FD57B2" w:rsidP="00FD57B2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L’enveloppe doit porter la mention :</w:t>
      </w:r>
    </w:p>
    <w:p w:rsidR="00FD57B2" w:rsidRDefault="00FD57B2" w:rsidP="00574BD2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« A ne pas </w:t>
      </w:r>
      <w:r w:rsidR="001C5833">
        <w:rPr>
          <w:rFonts w:asciiTheme="majorBidi" w:hAnsiTheme="majorBidi" w:cstheme="majorBidi"/>
          <w:sz w:val="32"/>
          <w:szCs w:val="32"/>
        </w:rPr>
        <w:t>ouvrir,</w:t>
      </w:r>
      <w:r>
        <w:rPr>
          <w:rFonts w:asciiTheme="majorBidi" w:hAnsiTheme="majorBidi" w:cstheme="majorBidi"/>
          <w:sz w:val="32"/>
          <w:szCs w:val="32"/>
        </w:rPr>
        <w:t xml:space="preserve"> AON°</w:t>
      </w:r>
      <w:r w:rsidR="00574BD2">
        <w:rPr>
          <w:rFonts w:asciiTheme="majorBidi" w:hAnsiTheme="majorBidi" w:cstheme="majorBidi"/>
          <w:sz w:val="32"/>
          <w:szCs w:val="32"/>
        </w:rPr>
        <w:t>03/2023</w:t>
      </w:r>
      <w:r>
        <w:rPr>
          <w:rFonts w:asciiTheme="majorBidi" w:hAnsiTheme="majorBidi" w:cstheme="majorBidi"/>
          <w:sz w:val="32"/>
          <w:szCs w:val="32"/>
        </w:rPr>
        <w:t xml:space="preserve"> : </w:t>
      </w:r>
      <w:r w:rsidR="00221D3F">
        <w:rPr>
          <w:rFonts w:asciiTheme="majorBidi" w:hAnsiTheme="majorBidi" w:cstheme="majorBidi"/>
          <w:sz w:val="32"/>
          <w:szCs w:val="32"/>
        </w:rPr>
        <w:t>fournitures</w:t>
      </w:r>
      <w:r>
        <w:rPr>
          <w:rFonts w:asciiTheme="majorBidi" w:hAnsiTheme="majorBidi" w:cstheme="majorBidi"/>
          <w:sz w:val="32"/>
          <w:szCs w:val="32"/>
        </w:rPr>
        <w:t xml:space="preserve"> de bureau et consommables </w:t>
      </w:r>
      <w:proofErr w:type="gramStart"/>
      <w:r>
        <w:rPr>
          <w:rFonts w:asciiTheme="majorBidi" w:hAnsiTheme="majorBidi" w:cstheme="majorBidi"/>
          <w:sz w:val="32"/>
          <w:szCs w:val="32"/>
        </w:rPr>
        <w:t>i</w:t>
      </w:r>
      <w:r w:rsidR="00574BD2">
        <w:rPr>
          <w:rFonts w:asciiTheme="majorBidi" w:hAnsiTheme="majorBidi" w:cstheme="majorBidi"/>
          <w:sz w:val="32"/>
          <w:szCs w:val="32"/>
        </w:rPr>
        <w:t>nformatiques ,</w:t>
      </w:r>
      <w:proofErr w:type="gramEnd"/>
      <w:r w:rsidR="00574BD2">
        <w:rPr>
          <w:rFonts w:asciiTheme="majorBidi" w:hAnsiTheme="majorBidi" w:cstheme="majorBidi"/>
          <w:sz w:val="32"/>
          <w:szCs w:val="32"/>
        </w:rPr>
        <w:t xml:space="preserve"> le n° du lot …. »</w:t>
      </w:r>
    </w:p>
    <w:p w:rsidR="004262A7" w:rsidRDefault="004262A7" w:rsidP="00FD57B2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sz w:val="32"/>
          <w:szCs w:val="32"/>
        </w:rPr>
      </w:pPr>
    </w:p>
    <w:p w:rsidR="00DA3909" w:rsidRDefault="00DA3909" w:rsidP="00DA3909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 soumissionnaire fournira un cautionnement provisoire par lot valable 60 jours :</w:t>
      </w:r>
    </w:p>
    <w:tbl>
      <w:tblPr>
        <w:tblStyle w:val="Grilledutableau"/>
        <w:tblW w:w="0" w:type="auto"/>
        <w:tblLook w:val="04A0"/>
      </w:tblPr>
      <w:tblGrid>
        <w:gridCol w:w="2660"/>
        <w:gridCol w:w="3481"/>
        <w:gridCol w:w="3071"/>
      </w:tblGrid>
      <w:tr w:rsidR="00DA3909" w:rsidRPr="0067663A" w:rsidTr="00DA3909">
        <w:tc>
          <w:tcPr>
            <w:tcW w:w="2660" w:type="dxa"/>
          </w:tcPr>
          <w:p w:rsidR="00DA3909" w:rsidRPr="0067663A" w:rsidRDefault="00DA3909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>Lot n°</w:t>
            </w:r>
          </w:p>
        </w:tc>
        <w:tc>
          <w:tcPr>
            <w:tcW w:w="3481" w:type="dxa"/>
          </w:tcPr>
          <w:p w:rsidR="00DA3909" w:rsidRPr="0067663A" w:rsidRDefault="00DA3909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>Lot N°1</w:t>
            </w:r>
          </w:p>
        </w:tc>
        <w:tc>
          <w:tcPr>
            <w:tcW w:w="3071" w:type="dxa"/>
          </w:tcPr>
          <w:p w:rsidR="00DA3909" w:rsidRPr="0067663A" w:rsidRDefault="00DA3909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>Lot  N°2</w:t>
            </w:r>
          </w:p>
        </w:tc>
      </w:tr>
      <w:tr w:rsidR="00DA3909" w:rsidRPr="0067663A" w:rsidTr="00DA3909">
        <w:tc>
          <w:tcPr>
            <w:tcW w:w="2660" w:type="dxa"/>
          </w:tcPr>
          <w:p w:rsidR="00DA3909" w:rsidRPr="0067663A" w:rsidRDefault="00DA3909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Montant en chiffre et en </w:t>
            </w:r>
            <w:proofErr w:type="spellStart"/>
            <w:r w:rsidRPr="0067663A">
              <w:rPr>
                <w:rFonts w:asciiTheme="majorBidi" w:hAnsiTheme="majorBidi" w:cstheme="majorBidi"/>
                <w:sz w:val="20"/>
                <w:szCs w:val="20"/>
              </w:rPr>
              <w:t>dt</w:t>
            </w:r>
            <w:proofErr w:type="spellEnd"/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:rsidR="00DA3909" w:rsidRPr="0067663A" w:rsidRDefault="000C6251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>1100</w:t>
            </w:r>
          </w:p>
        </w:tc>
        <w:tc>
          <w:tcPr>
            <w:tcW w:w="3071" w:type="dxa"/>
          </w:tcPr>
          <w:p w:rsidR="00DA3909" w:rsidRPr="0067663A" w:rsidRDefault="000C6251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>2900</w:t>
            </w:r>
          </w:p>
        </w:tc>
      </w:tr>
      <w:tr w:rsidR="00DA3909" w:rsidRPr="0067663A" w:rsidTr="00DA3909">
        <w:tc>
          <w:tcPr>
            <w:tcW w:w="2660" w:type="dxa"/>
          </w:tcPr>
          <w:p w:rsidR="00DA3909" w:rsidRPr="0067663A" w:rsidRDefault="00DA3909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Montant en lettres et en </w:t>
            </w:r>
            <w:proofErr w:type="spellStart"/>
            <w:r w:rsidRPr="0067663A">
              <w:rPr>
                <w:rFonts w:asciiTheme="majorBidi" w:hAnsiTheme="majorBidi" w:cstheme="majorBidi"/>
                <w:sz w:val="20"/>
                <w:szCs w:val="20"/>
              </w:rPr>
              <w:t>dt</w:t>
            </w:r>
            <w:proofErr w:type="spellEnd"/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:rsidR="00DA3909" w:rsidRPr="0067663A" w:rsidRDefault="000C6251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Mill cent dinars </w:t>
            </w:r>
          </w:p>
        </w:tc>
        <w:tc>
          <w:tcPr>
            <w:tcW w:w="3071" w:type="dxa"/>
          </w:tcPr>
          <w:p w:rsidR="00DA3909" w:rsidRPr="0067663A" w:rsidRDefault="000C6251" w:rsidP="00DA3909">
            <w:pPr>
              <w:tabs>
                <w:tab w:val="left" w:pos="-720"/>
                <w:tab w:val="left" w:pos="0"/>
              </w:tabs>
              <w:suppressAutoHyphens/>
              <w:rPr>
                <w:rFonts w:asciiTheme="majorBidi" w:hAnsiTheme="majorBidi" w:cstheme="majorBidi"/>
                <w:sz w:val="20"/>
                <w:szCs w:val="20"/>
              </w:rPr>
            </w:pPr>
            <w:r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Deux milles neuf cent dinars </w:t>
            </w:r>
            <w:r w:rsidR="00DB64BE" w:rsidRPr="0067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:rsidR="00B8151D" w:rsidRPr="00E22CDB" w:rsidRDefault="00B8151D" w:rsidP="001B4BA8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i/>
          <w:iCs/>
          <w:color w:val="FF0000"/>
          <w:spacing w:val="-3"/>
          <w:sz w:val="32"/>
          <w:szCs w:val="32"/>
        </w:rPr>
      </w:pPr>
    </w:p>
    <w:p w:rsidR="00B8151D" w:rsidRPr="00C62716" w:rsidRDefault="00B8151D" w:rsidP="00DB545C">
      <w:pPr>
        <w:tabs>
          <w:tab w:val="left" w:pos="2361"/>
        </w:tabs>
        <w:jc w:val="both"/>
        <w:rPr>
          <w:rFonts w:asciiTheme="majorBidi" w:hAnsiTheme="majorBidi" w:cstheme="majorBidi"/>
          <w:sz w:val="32"/>
          <w:szCs w:val="32"/>
        </w:rPr>
      </w:pPr>
      <w:r w:rsidRPr="00C62716">
        <w:rPr>
          <w:rFonts w:asciiTheme="majorBidi" w:hAnsiTheme="majorBidi" w:cstheme="majorBidi"/>
          <w:sz w:val="32"/>
          <w:szCs w:val="32"/>
        </w:rPr>
        <w:t xml:space="preserve">Les  fournisseurs peuvent commencer à envoyer leurs offres à partir du </w:t>
      </w:r>
      <w:r w:rsidR="00DB545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</w:rPr>
        <w:t xml:space="preserve">11 </w:t>
      </w:r>
      <w:r w:rsidR="000C6251" w:rsidRPr="00FF395B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mars 2023 </w:t>
      </w:r>
      <w:r w:rsidR="00E22CDB" w:rsidRPr="00FF395B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</w:t>
      </w:r>
      <w:r w:rsidRPr="00FF395B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</w:t>
      </w:r>
      <w:r w:rsidR="00B12A57" w:rsidRPr="00FF395B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à 08 h.00 du matin</w:t>
      </w:r>
      <w:r w:rsidR="00FF395B">
        <w:rPr>
          <w:rFonts w:asciiTheme="majorBidi" w:hAnsiTheme="majorBidi" w:cstheme="majorBidi"/>
          <w:sz w:val="32"/>
          <w:szCs w:val="32"/>
        </w:rPr>
        <w:t xml:space="preserve"> via la plate forme</w:t>
      </w:r>
      <w:r w:rsidR="00B12A57" w:rsidRPr="00C62716">
        <w:rPr>
          <w:rFonts w:asciiTheme="majorBidi" w:hAnsiTheme="majorBidi" w:cstheme="majorBidi"/>
          <w:sz w:val="32"/>
          <w:szCs w:val="32"/>
        </w:rPr>
        <w:t>Tuneps</w:t>
      </w:r>
      <w:r w:rsidRPr="00C62716">
        <w:rPr>
          <w:rFonts w:asciiTheme="majorBidi" w:hAnsiTheme="majorBidi" w:cstheme="majorBidi"/>
          <w:sz w:val="32"/>
          <w:szCs w:val="32"/>
        </w:rPr>
        <w:t xml:space="preserve">. </w:t>
      </w:r>
    </w:p>
    <w:p w:rsidR="00B8151D" w:rsidRPr="00C62716" w:rsidRDefault="00B8151D" w:rsidP="00B8151D">
      <w:pPr>
        <w:tabs>
          <w:tab w:val="left" w:pos="236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B8151D" w:rsidRPr="00C62716" w:rsidRDefault="00B8151D" w:rsidP="0067663A">
      <w:pPr>
        <w:jc w:val="both"/>
        <w:rPr>
          <w:rFonts w:asciiTheme="majorBidi" w:hAnsiTheme="majorBidi" w:cstheme="majorBidi"/>
          <w:sz w:val="32"/>
          <w:szCs w:val="32"/>
        </w:rPr>
      </w:pPr>
      <w:r w:rsidRPr="00C62716">
        <w:rPr>
          <w:rFonts w:asciiTheme="majorBidi" w:hAnsiTheme="majorBidi" w:cstheme="majorBidi"/>
          <w:sz w:val="32"/>
          <w:szCs w:val="32"/>
        </w:rPr>
        <w:t xml:space="preserve">Le dernier délai de réception des plis est fixé au plus tard </w:t>
      </w:r>
      <w:r w:rsidR="000C6251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le 10 avril 2023</w:t>
      </w:r>
      <w:r w:rsidR="0067663A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0C6251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</w:rPr>
        <w:t>à</w:t>
      </w:r>
      <w:r w:rsidR="00267BAC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</w:t>
      </w:r>
      <w:r w:rsidR="00A777D9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10</w:t>
      </w:r>
      <w:r w:rsidR="00B12A57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</w:t>
      </w:r>
      <w:r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h.00</w:t>
      </w:r>
      <w:r w:rsidR="00A777D9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du </w:t>
      </w:r>
      <w:r w:rsidR="003E7C71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matin.</w:t>
      </w:r>
    </w:p>
    <w:p w:rsidR="00B8151D" w:rsidRPr="00C62716" w:rsidRDefault="00B8151D" w:rsidP="00B8151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777D9" w:rsidRDefault="00A777D9" w:rsidP="0067663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B8151D" w:rsidRPr="00C62716">
        <w:rPr>
          <w:rFonts w:asciiTheme="majorBidi" w:hAnsiTheme="majorBidi" w:cstheme="majorBidi"/>
          <w:sz w:val="32"/>
          <w:szCs w:val="32"/>
        </w:rPr>
        <w:t xml:space="preserve">L’ouverture des plis sera en ligne, par lot et les documents accompagnants l’offre aura lieu </w:t>
      </w:r>
      <w:r w:rsidR="00E44F37" w:rsidRPr="0067663A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le </w:t>
      </w:r>
      <w:r w:rsidR="0067663A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10 avril 2023</w:t>
      </w:r>
      <w:r w:rsidR="00B8151D" w:rsidRPr="0067663A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</w:t>
      </w:r>
      <w:r w:rsidR="00E22CDB" w:rsidRPr="0067663A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à 10h</w:t>
      </w:r>
      <w:r w:rsidR="00E22CDB" w:rsidRPr="000C625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.30</w:t>
      </w:r>
      <w:r w:rsidR="00B8151D" w:rsidRPr="00C627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8151D" w:rsidRPr="00C62716">
        <w:rPr>
          <w:rFonts w:asciiTheme="majorBidi" w:hAnsiTheme="majorBidi" w:cstheme="majorBidi"/>
          <w:sz w:val="32"/>
          <w:szCs w:val="32"/>
        </w:rPr>
        <w:t xml:space="preserve">par la commission d’ouverture </w:t>
      </w:r>
      <w:r w:rsidR="004262A7">
        <w:rPr>
          <w:rFonts w:asciiTheme="majorBidi" w:hAnsiTheme="majorBidi" w:cstheme="majorBidi"/>
          <w:sz w:val="32"/>
          <w:szCs w:val="32"/>
        </w:rPr>
        <w:t>des plis au siège de l’Institut (</w:t>
      </w:r>
      <w:r>
        <w:rPr>
          <w:rFonts w:asciiTheme="majorBidi" w:hAnsiTheme="majorBidi" w:cstheme="majorBidi"/>
          <w:sz w:val="32"/>
          <w:szCs w:val="32"/>
        </w:rPr>
        <w:t>La séance d’ouverture non publique</w:t>
      </w:r>
      <w:r w:rsidR="004262A7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E22CDB" w:rsidRDefault="00E22CDB" w:rsidP="00E22CD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262A7" w:rsidRPr="00C62716" w:rsidRDefault="004262A7" w:rsidP="004262A7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Toute offre ne comportant pas le cautionnement provisoire ou </w:t>
      </w:r>
      <w:r w:rsidR="003E7C71">
        <w:rPr>
          <w:rFonts w:asciiTheme="majorBidi" w:hAnsiTheme="majorBidi" w:cstheme="majorBidi"/>
          <w:sz w:val="32"/>
          <w:szCs w:val="32"/>
        </w:rPr>
        <w:t>reçue</w:t>
      </w:r>
      <w:r>
        <w:rPr>
          <w:rFonts w:asciiTheme="majorBidi" w:hAnsiTheme="majorBidi" w:cstheme="majorBidi"/>
          <w:sz w:val="32"/>
          <w:szCs w:val="32"/>
        </w:rPr>
        <w:t xml:space="preserve"> après délais dans le bureau d’ordre sera automatiquement rejetée. </w:t>
      </w:r>
    </w:p>
    <w:p w:rsidR="00B8151D" w:rsidRPr="00C62716" w:rsidRDefault="00B8151D" w:rsidP="00B8151D">
      <w:pPr>
        <w:jc w:val="both"/>
        <w:rPr>
          <w:rFonts w:asciiTheme="majorBidi" w:hAnsiTheme="majorBidi" w:cstheme="majorBidi"/>
          <w:spacing w:val="-3"/>
          <w:sz w:val="32"/>
          <w:szCs w:val="32"/>
        </w:rPr>
      </w:pPr>
    </w:p>
    <w:p w:rsidR="00B8151D" w:rsidRPr="00C62716" w:rsidRDefault="00B8151D" w:rsidP="00B8151D">
      <w:pPr>
        <w:ind w:firstLine="708"/>
        <w:jc w:val="both"/>
        <w:rPr>
          <w:rFonts w:asciiTheme="majorBidi" w:hAnsiTheme="majorBidi" w:cstheme="majorBidi"/>
          <w:spacing w:val="-3"/>
          <w:sz w:val="32"/>
          <w:szCs w:val="32"/>
        </w:rPr>
      </w:pPr>
    </w:p>
    <w:p w:rsidR="00205079" w:rsidRPr="00C62716" w:rsidRDefault="00205079">
      <w:pPr>
        <w:rPr>
          <w:sz w:val="32"/>
          <w:szCs w:val="32"/>
        </w:rPr>
      </w:pPr>
    </w:p>
    <w:sectPr w:rsidR="00205079" w:rsidRPr="00C62716" w:rsidSect="0020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867"/>
    <w:multiLevelType w:val="hybridMultilevel"/>
    <w:tmpl w:val="6F7A072E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151D"/>
    <w:rsid w:val="00021348"/>
    <w:rsid w:val="00081D20"/>
    <w:rsid w:val="00086D53"/>
    <w:rsid w:val="00097F03"/>
    <w:rsid w:val="000C6251"/>
    <w:rsid w:val="00116167"/>
    <w:rsid w:val="001B4BA8"/>
    <w:rsid w:val="001C3C4B"/>
    <w:rsid w:val="001C5833"/>
    <w:rsid w:val="001E03F5"/>
    <w:rsid w:val="001E790E"/>
    <w:rsid w:val="00205079"/>
    <w:rsid w:val="00221D3F"/>
    <w:rsid w:val="00267BAC"/>
    <w:rsid w:val="002F2AFF"/>
    <w:rsid w:val="003025E3"/>
    <w:rsid w:val="003C33A6"/>
    <w:rsid w:val="003E7C71"/>
    <w:rsid w:val="004262A7"/>
    <w:rsid w:val="00454F87"/>
    <w:rsid w:val="00476C44"/>
    <w:rsid w:val="004C5B8B"/>
    <w:rsid w:val="00505560"/>
    <w:rsid w:val="005430FA"/>
    <w:rsid w:val="00554FE1"/>
    <w:rsid w:val="00574BD2"/>
    <w:rsid w:val="005F203E"/>
    <w:rsid w:val="0067663A"/>
    <w:rsid w:val="00677088"/>
    <w:rsid w:val="00682FB0"/>
    <w:rsid w:val="00693AB8"/>
    <w:rsid w:val="006C2014"/>
    <w:rsid w:val="007271FA"/>
    <w:rsid w:val="00756FEC"/>
    <w:rsid w:val="007B2D25"/>
    <w:rsid w:val="007B6286"/>
    <w:rsid w:val="00866317"/>
    <w:rsid w:val="00891E31"/>
    <w:rsid w:val="0096217B"/>
    <w:rsid w:val="00983606"/>
    <w:rsid w:val="00A075A6"/>
    <w:rsid w:val="00A27112"/>
    <w:rsid w:val="00A777D9"/>
    <w:rsid w:val="00AF1809"/>
    <w:rsid w:val="00B12A57"/>
    <w:rsid w:val="00B8151D"/>
    <w:rsid w:val="00BB2320"/>
    <w:rsid w:val="00C62716"/>
    <w:rsid w:val="00C7703B"/>
    <w:rsid w:val="00C77E1E"/>
    <w:rsid w:val="00CB421A"/>
    <w:rsid w:val="00DA3909"/>
    <w:rsid w:val="00DB545C"/>
    <w:rsid w:val="00DB64BE"/>
    <w:rsid w:val="00DC5FE0"/>
    <w:rsid w:val="00E22CDB"/>
    <w:rsid w:val="00E44F37"/>
    <w:rsid w:val="00ED7B97"/>
    <w:rsid w:val="00F06513"/>
    <w:rsid w:val="00FD57B2"/>
    <w:rsid w:val="00F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8151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8151D"/>
    <w:pPr>
      <w:suppressAutoHyphens/>
      <w:jc w:val="center"/>
    </w:pPr>
    <w:rPr>
      <w:i/>
      <w:iCs/>
    </w:rPr>
  </w:style>
  <w:style w:type="character" w:customStyle="1" w:styleId="TitreCar">
    <w:name w:val="Titre Car"/>
    <w:basedOn w:val="Policepardfaut"/>
    <w:link w:val="Titre"/>
    <w:rsid w:val="00B8151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8151D"/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8151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045-424F-470D-AAD2-CF2BC6E8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cp:lastPrinted>2020-06-30T07:45:00Z</cp:lastPrinted>
  <dcterms:created xsi:type="dcterms:W3CDTF">2023-03-09T08:03:00Z</dcterms:created>
  <dcterms:modified xsi:type="dcterms:W3CDTF">2023-03-09T08:03:00Z</dcterms:modified>
</cp:coreProperties>
</file>